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9804" w14:textId="77777777" w:rsidR="000A095C" w:rsidRPr="00612FD5" w:rsidRDefault="000A095C" w:rsidP="001C2DE9">
      <w:pPr>
        <w:spacing w:after="0"/>
        <w:jc w:val="both"/>
        <w:rPr>
          <w:lang w:val="en-US"/>
        </w:rPr>
      </w:pPr>
    </w:p>
    <w:p w14:paraId="3F244153" w14:textId="0B5EA7EE" w:rsidR="00B703DE" w:rsidRPr="0076313B" w:rsidRDefault="00B703DE" w:rsidP="00CF3A66">
      <w:pPr>
        <w:spacing w:after="0"/>
        <w:jc w:val="both"/>
        <w:rPr>
          <w:b/>
          <w:lang w:val="en-US"/>
        </w:rPr>
      </w:pPr>
      <w:r w:rsidRPr="00CE3F22">
        <w:rPr>
          <w:b/>
          <w:sz w:val="40"/>
          <w:lang w:val="en-US"/>
        </w:rPr>
        <w:t>L</w:t>
      </w:r>
      <w:r>
        <w:rPr>
          <w:b/>
          <w:sz w:val="40"/>
          <w:lang w:val="en-US"/>
        </w:rPr>
        <w:t xml:space="preserve">and </w:t>
      </w:r>
      <w:r w:rsidRPr="00CE3F22">
        <w:rPr>
          <w:b/>
          <w:sz w:val="40"/>
          <w:lang w:val="en-US"/>
        </w:rPr>
        <w:t>D</w:t>
      </w:r>
      <w:r>
        <w:rPr>
          <w:b/>
          <w:sz w:val="40"/>
          <w:lang w:val="en-US"/>
        </w:rPr>
        <w:t xml:space="preserve">egradation </w:t>
      </w:r>
      <w:r w:rsidRPr="00CE3F22">
        <w:rPr>
          <w:b/>
          <w:sz w:val="40"/>
          <w:lang w:val="en-US"/>
        </w:rPr>
        <w:t>N</w:t>
      </w:r>
      <w:r>
        <w:rPr>
          <w:b/>
          <w:sz w:val="40"/>
          <w:lang w:val="en-US"/>
        </w:rPr>
        <w:t xml:space="preserve">eutrality Fund – </w:t>
      </w:r>
      <w:r w:rsidRPr="00CE3F22">
        <w:rPr>
          <w:b/>
          <w:sz w:val="40"/>
          <w:lang w:val="en-US"/>
        </w:rPr>
        <w:t>TA</w:t>
      </w:r>
      <w:r>
        <w:rPr>
          <w:b/>
          <w:sz w:val="40"/>
          <w:lang w:val="en-US"/>
        </w:rPr>
        <w:t xml:space="preserve"> </w:t>
      </w:r>
      <w:r w:rsidRPr="00CE3F22">
        <w:rPr>
          <w:b/>
          <w:sz w:val="40"/>
          <w:lang w:val="en-US"/>
        </w:rPr>
        <w:t>F</w:t>
      </w:r>
      <w:r>
        <w:rPr>
          <w:b/>
          <w:sz w:val="40"/>
          <w:lang w:val="en-US"/>
        </w:rPr>
        <w:t>acility</w:t>
      </w:r>
    </w:p>
    <w:p w14:paraId="27AE3CBC" w14:textId="473920F6" w:rsidR="00B703DE" w:rsidRDefault="00B703DE" w:rsidP="00CF3A66">
      <w:pPr>
        <w:spacing w:after="0"/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Guidelines</w:t>
      </w:r>
      <w:r w:rsidRPr="00CE3F22">
        <w:rPr>
          <w:b/>
          <w:sz w:val="40"/>
          <w:lang w:val="en-US"/>
        </w:rPr>
        <w:t xml:space="preserve"> </w:t>
      </w:r>
      <w:r w:rsidR="00CE3F22" w:rsidRPr="00CE3F22">
        <w:rPr>
          <w:b/>
          <w:sz w:val="40"/>
          <w:lang w:val="en-US"/>
        </w:rPr>
        <w:t xml:space="preserve">for </w:t>
      </w:r>
      <w:r w:rsidR="00D72B06">
        <w:rPr>
          <w:b/>
          <w:sz w:val="40"/>
          <w:lang w:val="en-US"/>
        </w:rPr>
        <w:t>Financial</w:t>
      </w:r>
      <w:r>
        <w:rPr>
          <w:b/>
          <w:sz w:val="40"/>
          <w:lang w:val="en-US"/>
        </w:rPr>
        <w:t xml:space="preserve"> Budgeting</w:t>
      </w:r>
    </w:p>
    <w:p w14:paraId="5D2DF1FC" w14:textId="4F440E15" w:rsidR="00CF3A66" w:rsidRDefault="00CF3A66" w:rsidP="00CF3A66">
      <w:pPr>
        <w:pStyle w:val="NoSpacing"/>
        <w:rPr>
          <w:b/>
          <w:sz w:val="40"/>
          <w:lang w:val="en-US"/>
        </w:rPr>
      </w:pPr>
    </w:p>
    <w:p w14:paraId="09E97FC6" w14:textId="77777777" w:rsidR="00CE3F22" w:rsidRDefault="00CE3F22" w:rsidP="00CF3A66">
      <w:pPr>
        <w:pStyle w:val="NoSpacing"/>
        <w:rPr>
          <w:b/>
          <w:lang w:val="en-US"/>
        </w:rPr>
      </w:pPr>
    </w:p>
    <w:p w14:paraId="787ECEF0" w14:textId="42850050" w:rsidR="00CF3A66" w:rsidRDefault="00A1372D" w:rsidP="00CF3A66">
      <w:pPr>
        <w:rPr>
          <w:b/>
          <w:i/>
          <w:lang w:val="en-US"/>
        </w:rPr>
      </w:pPr>
      <w:r>
        <w:rPr>
          <w:b/>
          <w:i/>
          <w:lang w:val="en-US"/>
        </w:rPr>
        <w:t>Introduction</w:t>
      </w:r>
    </w:p>
    <w:p w14:paraId="33D5B603" w14:textId="21B31204" w:rsidR="004A4116" w:rsidRDefault="00A1372D" w:rsidP="00EF62A8">
      <w:pPr>
        <w:rPr>
          <w:lang w:val="en-US"/>
        </w:rPr>
      </w:pPr>
      <w:r w:rsidRPr="00A1372D">
        <w:rPr>
          <w:lang w:val="en-US"/>
        </w:rPr>
        <w:t xml:space="preserve">In this document </w:t>
      </w:r>
      <w:r w:rsidR="008E2D49">
        <w:rPr>
          <w:lang w:val="en-US"/>
        </w:rPr>
        <w:t xml:space="preserve">guidelines </w:t>
      </w:r>
      <w:r>
        <w:rPr>
          <w:lang w:val="en-US"/>
        </w:rPr>
        <w:t xml:space="preserve">are given </w:t>
      </w:r>
      <w:r w:rsidR="00D72B06">
        <w:rPr>
          <w:lang w:val="en-US"/>
        </w:rPr>
        <w:t xml:space="preserve">on how </w:t>
      </w:r>
      <w:r>
        <w:rPr>
          <w:lang w:val="en-US"/>
        </w:rPr>
        <w:t>to use the LDN</w:t>
      </w:r>
      <w:r w:rsidR="00D72B06">
        <w:rPr>
          <w:lang w:val="en-US"/>
        </w:rPr>
        <w:t xml:space="preserve"> </w:t>
      </w:r>
      <w:r>
        <w:rPr>
          <w:lang w:val="en-US"/>
        </w:rPr>
        <w:t xml:space="preserve">TAF </w:t>
      </w:r>
      <w:r w:rsidR="00D72B06">
        <w:rPr>
          <w:lang w:val="en-US"/>
        </w:rPr>
        <w:t xml:space="preserve">Financial </w:t>
      </w:r>
      <w:r>
        <w:rPr>
          <w:lang w:val="en-US"/>
        </w:rPr>
        <w:t xml:space="preserve">Reporting Framework. </w:t>
      </w:r>
      <w:r w:rsidR="00901C41" w:rsidRPr="00901C41">
        <w:rPr>
          <w:lang w:val="en-US"/>
        </w:rPr>
        <w:t>It is mandatory for an Implementing Partner (IP) to report semi-annually. Standard IDH reporting periods are January – June (due 1</w:t>
      </w:r>
      <w:r w:rsidR="00901C41" w:rsidRPr="00901C41">
        <w:rPr>
          <w:vertAlign w:val="superscript"/>
          <w:lang w:val="en-US"/>
        </w:rPr>
        <w:t>st</w:t>
      </w:r>
      <w:r w:rsidR="00901C41">
        <w:rPr>
          <w:lang w:val="en-US"/>
        </w:rPr>
        <w:t xml:space="preserve"> </w:t>
      </w:r>
      <w:r w:rsidR="00901C41" w:rsidRPr="00901C41">
        <w:rPr>
          <w:lang w:val="en-US"/>
        </w:rPr>
        <w:t>September) and January – December (due 1</w:t>
      </w:r>
      <w:r w:rsidR="00901C41" w:rsidRPr="00901C41">
        <w:rPr>
          <w:vertAlign w:val="superscript"/>
          <w:lang w:val="en-US"/>
        </w:rPr>
        <w:t>st</w:t>
      </w:r>
      <w:r w:rsidR="00901C41">
        <w:rPr>
          <w:lang w:val="en-US"/>
        </w:rPr>
        <w:t xml:space="preserve"> </w:t>
      </w:r>
      <w:r w:rsidR="00901C41" w:rsidRPr="00901C41">
        <w:rPr>
          <w:lang w:val="en-US"/>
        </w:rPr>
        <w:t>March). The project specific reporting periods and due dates are documented in the funding agreement (contract between IDH and IP).</w:t>
      </w:r>
      <w:r w:rsidR="00901C41">
        <w:rPr>
          <w:lang w:val="en-US"/>
        </w:rPr>
        <w:t xml:space="preserve"> </w:t>
      </w:r>
      <w:r w:rsidR="00BF2F4A">
        <w:rPr>
          <w:lang w:val="en-US"/>
        </w:rPr>
        <w:t xml:space="preserve">Follow this document </w:t>
      </w:r>
      <w:r w:rsidR="008E2D49">
        <w:rPr>
          <w:lang w:val="en-US"/>
        </w:rPr>
        <w:t xml:space="preserve">when building the </w:t>
      </w:r>
      <w:r w:rsidR="00BF2F4A">
        <w:rPr>
          <w:lang w:val="en-US"/>
        </w:rPr>
        <w:t>Budget</w:t>
      </w:r>
      <w:r w:rsidR="008E2D49">
        <w:rPr>
          <w:lang w:val="en-US"/>
        </w:rPr>
        <w:t xml:space="preserve"> for a TA project and,</w:t>
      </w:r>
      <w:r w:rsidR="00BF2F4A">
        <w:rPr>
          <w:lang w:val="en-US"/>
        </w:rPr>
        <w:t xml:space="preserve"> </w:t>
      </w:r>
      <w:r w:rsidR="008E2D49">
        <w:rPr>
          <w:lang w:val="en-US"/>
        </w:rPr>
        <w:t xml:space="preserve">at a later stage, to report on </w:t>
      </w:r>
      <w:r w:rsidR="00BF2F4A">
        <w:rPr>
          <w:lang w:val="en-US"/>
        </w:rPr>
        <w:t xml:space="preserve">Actuals and </w:t>
      </w:r>
      <w:r w:rsidR="008E2D49">
        <w:rPr>
          <w:lang w:val="en-US"/>
        </w:rPr>
        <w:t>to provide a revised budget (</w:t>
      </w:r>
      <w:r w:rsidR="00BF2F4A">
        <w:rPr>
          <w:lang w:val="en-US"/>
        </w:rPr>
        <w:t>Forecast</w:t>
      </w:r>
      <w:r w:rsidR="008E2D49">
        <w:rPr>
          <w:lang w:val="en-US"/>
        </w:rPr>
        <w:t>)</w:t>
      </w:r>
      <w:r w:rsidR="00BF2F4A">
        <w:rPr>
          <w:lang w:val="en-US"/>
        </w:rPr>
        <w:t xml:space="preserve">. </w:t>
      </w:r>
    </w:p>
    <w:p w14:paraId="4354949A" w14:textId="1278BCE4" w:rsidR="00BF2F4A" w:rsidRPr="00BF2F4A" w:rsidRDefault="00BF2F4A" w:rsidP="00BF2F4A">
      <w:pPr>
        <w:ind w:left="1416" w:hanging="1416"/>
        <w:rPr>
          <w:lang w:val="en-US"/>
        </w:rPr>
      </w:pPr>
      <w:r>
        <w:rPr>
          <w:b/>
          <w:lang w:val="en-US"/>
        </w:rPr>
        <w:t>Budget</w:t>
      </w:r>
      <w:r>
        <w:rPr>
          <w:b/>
          <w:lang w:val="en-US"/>
        </w:rPr>
        <w:tab/>
      </w:r>
      <w:r w:rsidR="00164581">
        <w:rPr>
          <w:lang w:val="en-US"/>
        </w:rPr>
        <w:t>t</w:t>
      </w:r>
      <w:r>
        <w:rPr>
          <w:lang w:val="en-US"/>
        </w:rPr>
        <w:t xml:space="preserve">he Budget is an overview of the costs (direct / indirect) </w:t>
      </w:r>
      <w:r w:rsidR="008E2D49">
        <w:rPr>
          <w:lang w:val="en-US"/>
        </w:rPr>
        <w:t xml:space="preserve">expected to be made </w:t>
      </w:r>
      <w:r>
        <w:rPr>
          <w:lang w:val="en-US"/>
        </w:rPr>
        <w:t xml:space="preserve">to </w:t>
      </w:r>
      <w:r w:rsidR="008E2D49">
        <w:rPr>
          <w:lang w:val="en-US"/>
        </w:rPr>
        <w:t>achieve</w:t>
      </w:r>
      <w:r>
        <w:rPr>
          <w:lang w:val="en-US"/>
        </w:rPr>
        <w:t xml:space="preserve"> the project goals</w:t>
      </w:r>
      <w:r w:rsidR="0084683E">
        <w:rPr>
          <w:lang w:val="en-US"/>
        </w:rPr>
        <w:t xml:space="preserve"> in the Project Proposal. </w:t>
      </w:r>
    </w:p>
    <w:p w14:paraId="05910F06" w14:textId="5BAFB654" w:rsidR="00BF2F4A" w:rsidRDefault="00BF2F4A" w:rsidP="00BF2F4A">
      <w:pPr>
        <w:ind w:left="1416" w:hanging="1416"/>
        <w:rPr>
          <w:lang w:val="en-GB"/>
        </w:rPr>
      </w:pPr>
      <w:r>
        <w:rPr>
          <w:b/>
          <w:lang w:val="en-GB"/>
        </w:rPr>
        <w:t>Actuals</w:t>
      </w:r>
      <w:r>
        <w:rPr>
          <w:b/>
          <w:lang w:val="en-GB"/>
        </w:rPr>
        <w:tab/>
      </w:r>
      <w:r w:rsidR="00164581">
        <w:rPr>
          <w:lang w:val="en-GB"/>
        </w:rPr>
        <w:t>a</w:t>
      </w:r>
      <w:r>
        <w:rPr>
          <w:lang w:val="en-GB"/>
        </w:rPr>
        <w:t xml:space="preserve">s Actuals we understand the </w:t>
      </w:r>
      <w:r w:rsidR="00BF4DCE">
        <w:rPr>
          <w:lang w:val="en-GB"/>
        </w:rPr>
        <w:t>accrued</w:t>
      </w:r>
      <w:r>
        <w:rPr>
          <w:lang w:val="en-GB"/>
        </w:rPr>
        <w:t xml:space="preserve"> </w:t>
      </w:r>
      <w:r w:rsidR="00BF4DCE">
        <w:rPr>
          <w:lang w:val="en-GB"/>
        </w:rPr>
        <w:t>expenses</w:t>
      </w:r>
      <w:r>
        <w:rPr>
          <w:lang w:val="en-GB"/>
        </w:rPr>
        <w:t xml:space="preserve"> in the reporting period</w:t>
      </w:r>
      <w:r w:rsidR="00BF4DCE">
        <w:rPr>
          <w:lang w:val="en-GB"/>
        </w:rPr>
        <w:t xml:space="preserve"> (not cash based)</w:t>
      </w:r>
      <w:r>
        <w:rPr>
          <w:lang w:val="en-GB"/>
        </w:rPr>
        <w:t xml:space="preserve">. </w:t>
      </w:r>
      <w:r w:rsidR="00BF4DCE" w:rsidRPr="00BF4DCE">
        <w:rPr>
          <w:lang w:val="en-GB"/>
        </w:rPr>
        <w:t xml:space="preserve">An accrued expense is an accounting expense recognized in the books </w:t>
      </w:r>
      <w:r w:rsidR="00BF4DCE">
        <w:rPr>
          <w:lang w:val="en-GB"/>
        </w:rPr>
        <w:t xml:space="preserve">possible </w:t>
      </w:r>
      <w:r w:rsidR="00BF4DCE" w:rsidRPr="00BF4DCE">
        <w:rPr>
          <w:lang w:val="en-GB"/>
        </w:rPr>
        <w:t>before it is paid for</w:t>
      </w:r>
      <w:r w:rsidR="00BF4DCE">
        <w:rPr>
          <w:lang w:val="en-GB"/>
        </w:rPr>
        <w:t xml:space="preserve">. Recognition is based on cost made during the reporting period. </w:t>
      </w:r>
    </w:p>
    <w:p w14:paraId="0AD50F0E" w14:textId="710D9AC3" w:rsidR="0033170C" w:rsidRDefault="00BF2F4A" w:rsidP="00C24F89">
      <w:pPr>
        <w:ind w:left="1416" w:hanging="1416"/>
        <w:rPr>
          <w:lang w:val="en-GB"/>
        </w:rPr>
      </w:pPr>
      <w:r>
        <w:rPr>
          <w:b/>
          <w:lang w:val="en-GB"/>
        </w:rPr>
        <w:t>Forecast</w:t>
      </w:r>
      <w:r>
        <w:rPr>
          <w:b/>
          <w:lang w:val="en-GB"/>
        </w:rPr>
        <w:tab/>
      </w:r>
      <w:r w:rsidR="00164581">
        <w:rPr>
          <w:lang w:val="en-GB"/>
        </w:rPr>
        <w:t>t</w:t>
      </w:r>
      <w:r>
        <w:rPr>
          <w:lang w:val="en-GB"/>
        </w:rPr>
        <w:t xml:space="preserve">he Forecast is the most up-to-date revised budget for the future periods of the project. Hence, the Forecast might be </w:t>
      </w:r>
      <w:r w:rsidR="008E2D49">
        <w:rPr>
          <w:lang w:val="en-GB"/>
        </w:rPr>
        <w:t>the same as</w:t>
      </w:r>
      <w:r>
        <w:rPr>
          <w:lang w:val="en-GB"/>
        </w:rPr>
        <w:t xml:space="preserve"> the </w:t>
      </w:r>
      <w:r w:rsidR="008E2D49">
        <w:rPr>
          <w:lang w:val="en-GB"/>
        </w:rPr>
        <w:t xml:space="preserve">original </w:t>
      </w:r>
      <w:r>
        <w:rPr>
          <w:lang w:val="en-GB"/>
        </w:rPr>
        <w:t xml:space="preserve">Budget or </w:t>
      </w:r>
      <w:r w:rsidR="00B5410A">
        <w:rPr>
          <w:lang w:val="en-GB"/>
        </w:rPr>
        <w:t xml:space="preserve">adjusted based on new insights. </w:t>
      </w:r>
    </w:p>
    <w:p w14:paraId="31F71D8E" w14:textId="5F9217E7" w:rsidR="00C24F89" w:rsidRDefault="00C24F89" w:rsidP="00C24F89">
      <w:pPr>
        <w:ind w:left="1416" w:hanging="1416"/>
        <w:rPr>
          <w:lang w:val="en-GB"/>
        </w:rPr>
      </w:pPr>
      <w:bookmarkStart w:id="0" w:name="_GoBack"/>
      <w:bookmarkEnd w:id="0"/>
    </w:p>
    <w:p w14:paraId="02ABE6D8" w14:textId="286624E8" w:rsidR="00677BC1" w:rsidRPr="00677BC1" w:rsidRDefault="00677BC1" w:rsidP="00C24F89">
      <w:pPr>
        <w:ind w:left="1416" w:hanging="1416"/>
        <w:rPr>
          <w:b/>
          <w:i/>
          <w:lang w:val="en-GB"/>
        </w:rPr>
      </w:pPr>
      <w:r w:rsidRPr="00677BC1">
        <w:rPr>
          <w:b/>
          <w:i/>
          <w:lang w:val="en-GB"/>
        </w:rPr>
        <w:t>Timetable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340"/>
        <w:gridCol w:w="1840"/>
        <w:gridCol w:w="222"/>
        <w:gridCol w:w="340"/>
        <w:gridCol w:w="1840"/>
        <w:gridCol w:w="222"/>
        <w:gridCol w:w="340"/>
        <w:gridCol w:w="1840"/>
        <w:gridCol w:w="222"/>
        <w:gridCol w:w="340"/>
        <w:gridCol w:w="1840"/>
      </w:tblGrid>
      <w:tr w:rsidR="00D92DC5" w:rsidRPr="00D92DC5" w14:paraId="106FAB99" w14:textId="77777777" w:rsidTr="00D92DC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C83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717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Start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8D9B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B63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B20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1st September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25B3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0D28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C2A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1st March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8A2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398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D18B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End</w:t>
            </w:r>
          </w:p>
        </w:tc>
      </w:tr>
      <w:tr w:rsidR="00D92DC5" w:rsidRPr="00D92DC5" w14:paraId="2A2F07C7" w14:textId="77777777" w:rsidTr="00D92DC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7DA" w14:textId="77777777" w:rsidR="00D92DC5" w:rsidRPr="00D92DC5" w:rsidRDefault="00D92DC5" w:rsidP="00D92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C3AC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7048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48FB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252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52A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9C6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CFA5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0D5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571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221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92DC5" w:rsidRPr="00D92DC5" w14:paraId="3BF13AED" w14:textId="77777777" w:rsidTr="00D92DC5">
        <w:trPr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hideMark/>
          </w:tcPr>
          <w:p w14:paraId="694A2453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657C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Budget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for the contract period (2019, 2020 &amp; 2021).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1E02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6600"/>
            <w:noWrap/>
            <w:hideMark/>
          </w:tcPr>
          <w:p w14:paraId="2CE63C5F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D5EA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Actual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cost of </w:t>
            </w:r>
            <w:proofErr w:type="spellStart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Start up</w:t>
            </w:r>
            <w:proofErr w:type="spellEnd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and till June.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3DD5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6600"/>
            <w:noWrap/>
            <w:hideMark/>
          </w:tcPr>
          <w:p w14:paraId="3E760DB0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F5C6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Actual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cost of </w:t>
            </w:r>
            <w:proofErr w:type="spellStart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Start up</w:t>
            </w:r>
            <w:proofErr w:type="spellEnd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and till December.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88CB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6600"/>
            <w:noWrap/>
            <w:hideMark/>
          </w:tcPr>
          <w:p w14:paraId="0038A1C0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F99A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Actual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cost of </w:t>
            </w:r>
            <w:proofErr w:type="spellStart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Start up</w:t>
            </w:r>
            <w:proofErr w:type="spellEnd"/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and till the end of the project period.</w:t>
            </w:r>
          </w:p>
        </w:tc>
      </w:tr>
      <w:tr w:rsidR="00D92DC5" w:rsidRPr="00D92DC5" w14:paraId="60B535A7" w14:textId="77777777" w:rsidTr="00D92DC5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DDD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315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E28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0D7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5FEB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EEF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5204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5053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712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1BFD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992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92DC5" w:rsidRPr="00D92DC5" w14:paraId="5F6AFEC7" w14:textId="77777777" w:rsidTr="00D92DC5">
        <w:trPr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29AD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9BCD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EC07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993D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EAB0C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EF28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hideMark/>
          </w:tcPr>
          <w:p w14:paraId="1687BEDB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8BA2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Forecast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of the coming project period.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A8E8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hideMark/>
          </w:tcPr>
          <w:p w14:paraId="3FCAAB37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3C23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Audit 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if the IDH contribution for the 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val="en-GB" w:eastAsia="en-GB"/>
              </w:rPr>
              <w:t>project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is &gt; EUR 75,000. </w:t>
            </w:r>
          </w:p>
        </w:tc>
      </w:tr>
      <w:tr w:rsidR="00D92DC5" w:rsidRPr="00D92DC5" w14:paraId="47E66A35" w14:textId="77777777" w:rsidTr="00D92DC5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FFF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C19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4958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BC7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DB9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02D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A24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EF9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369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FB86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2F5A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92DC5" w:rsidRPr="00D92DC5" w14:paraId="31008C4E" w14:textId="77777777" w:rsidTr="00D92DC5">
        <w:trPr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D46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775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2540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89C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2C7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86C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hideMark/>
          </w:tcPr>
          <w:p w14:paraId="40B6DFB1" w14:textId="77777777" w:rsidR="00D92DC5" w:rsidRPr="00D92DC5" w:rsidRDefault="00D92DC5" w:rsidP="00D9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5594" w14:textId="394B1403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92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Audit 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if the IDH contribution for the </w:t>
            </w:r>
            <w:r w:rsidR="005E286E" w:rsidRPr="005E286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val="en-GB" w:eastAsia="en-GB"/>
              </w:rPr>
              <w:t>period</w:t>
            </w:r>
            <w:r w:rsidRPr="00D92D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is &gt; EUR 75,000.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529" w14:textId="77777777" w:rsidR="00D92DC5" w:rsidRPr="00D92DC5" w:rsidRDefault="00D92DC5" w:rsidP="00D92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9EF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969C" w14:textId="77777777" w:rsidR="00D92DC5" w:rsidRPr="00D92DC5" w:rsidRDefault="00D92DC5" w:rsidP="00D9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3CB1BE5" w14:textId="7DCE071C" w:rsidR="00677BC1" w:rsidRDefault="00677BC1" w:rsidP="00C24F89">
      <w:pPr>
        <w:ind w:left="1416" w:hanging="1416"/>
        <w:rPr>
          <w:lang w:val="en-GB"/>
        </w:rPr>
      </w:pPr>
    </w:p>
    <w:p w14:paraId="63F3C9A9" w14:textId="1A8C486A" w:rsidR="00D92DC5" w:rsidRDefault="00D92DC5" w:rsidP="00C24F89">
      <w:pPr>
        <w:ind w:left="1416" w:hanging="1416"/>
        <w:rPr>
          <w:lang w:val="en-GB"/>
        </w:rPr>
      </w:pPr>
    </w:p>
    <w:p w14:paraId="12C2D331" w14:textId="77777777" w:rsidR="00D92DC5" w:rsidRDefault="00D92DC5" w:rsidP="00C24F89">
      <w:pPr>
        <w:ind w:left="1416" w:hanging="1416"/>
        <w:rPr>
          <w:lang w:val="en-GB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2574"/>
        <w:gridCol w:w="1320"/>
        <w:gridCol w:w="925"/>
        <w:gridCol w:w="851"/>
      </w:tblGrid>
      <w:tr w:rsidR="002876F6" w:rsidRPr="005E286E" w14:paraId="67F0614D" w14:textId="77777777" w:rsidTr="00677BC1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02E38BD2" w14:textId="385462E2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</w:tcPr>
          <w:p w14:paraId="46DBA4C7" w14:textId="77777777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E77B780" w14:textId="55FF869A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E28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01C79CE5" w14:textId="77777777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E28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1DABD41" w14:textId="77777777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E28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1F9B4C12" w14:textId="77777777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E28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3C216C6" w14:textId="77777777" w:rsidR="002876F6" w:rsidRPr="005E286E" w:rsidRDefault="002876F6" w:rsidP="00532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E28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67B83F42" w14:textId="4EA323A2" w:rsidR="00B5410A" w:rsidRDefault="0053209A" w:rsidP="00BF2F4A">
      <w:pPr>
        <w:ind w:left="1416" w:hanging="1416"/>
        <w:rPr>
          <w:b/>
          <w:lang w:val="en-GB"/>
        </w:rPr>
      </w:pPr>
      <w:r w:rsidRPr="0053209A">
        <w:rPr>
          <w:b/>
          <w:lang w:val="en-GB"/>
        </w:rPr>
        <w:t>Budget</w:t>
      </w:r>
    </w:p>
    <w:p w14:paraId="0FE55C75" w14:textId="708A4F25" w:rsidR="004813D5" w:rsidRDefault="0069144A" w:rsidP="00AA6828">
      <w:pPr>
        <w:rPr>
          <w:lang w:val="en-GB"/>
        </w:rPr>
      </w:pPr>
      <w:r>
        <w:rPr>
          <w:lang w:val="en-GB"/>
        </w:rPr>
        <w:t xml:space="preserve">For a </w:t>
      </w:r>
      <w:r w:rsidR="006A5270">
        <w:rPr>
          <w:lang w:val="en-GB"/>
        </w:rPr>
        <w:t>Project Proposal</w:t>
      </w:r>
      <w:r>
        <w:rPr>
          <w:lang w:val="en-GB"/>
        </w:rPr>
        <w:t xml:space="preserve"> to be admissible, </w:t>
      </w:r>
      <w:r w:rsidR="00AA6828">
        <w:rPr>
          <w:lang w:val="en-GB"/>
        </w:rPr>
        <w:t>a Project Budget</w:t>
      </w:r>
      <w:r>
        <w:rPr>
          <w:lang w:val="en-GB"/>
        </w:rPr>
        <w:t xml:space="preserve"> must be submitted as part of it</w:t>
      </w:r>
      <w:r w:rsidR="00AA6828">
        <w:rPr>
          <w:lang w:val="en-GB"/>
        </w:rPr>
        <w:t xml:space="preserve">. The </w:t>
      </w:r>
      <w:r w:rsidR="00356A44">
        <w:rPr>
          <w:lang w:val="en-GB"/>
        </w:rPr>
        <w:t xml:space="preserve">Project </w:t>
      </w:r>
      <w:r w:rsidR="00AA6828">
        <w:rPr>
          <w:lang w:val="en-GB"/>
        </w:rPr>
        <w:t xml:space="preserve">Budget presents the costs that are </w:t>
      </w:r>
      <w:r>
        <w:rPr>
          <w:lang w:val="en-GB"/>
        </w:rPr>
        <w:t xml:space="preserve">expected to be made </w:t>
      </w:r>
      <w:r w:rsidR="00AA6828">
        <w:rPr>
          <w:lang w:val="en-GB"/>
        </w:rPr>
        <w:t xml:space="preserve">to </w:t>
      </w:r>
      <w:r w:rsidR="00356A44">
        <w:rPr>
          <w:lang w:val="en-GB"/>
        </w:rPr>
        <w:t xml:space="preserve">accomplish the Project goals and </w:t>
      </w:r>
      <w:r w:rsidR="00EA4337">
        <w:rPr>
          <w:lang w:val="en-GB"/>
        </w:rPr>
        <w:t xml:space="preserve">are </w:t>
      </w:r>
      <w:r w:rsidR="00356A44">
        <w:rPr>
          <w:lang w:val="en-GB"/>
        </w:rPr>
        <w:t xml:space="preserve">put in the </w:t>
      </w:r>
      <w:r w:rsidR="00EA4337">
        <w:rPr>
          <w:lang w:val="en-GB"/>
        </w:rPr>
        <w:t>budgeting sections of the t</w:t>
      </w:r>
      <w:r w:rsidR="00356A44">
        <w:rPr>
          <w:lang w:val="en-GB"/>
        </w:rPr>
        <w:t>emplate on annual level</w:t>
      </w:r>
      <w:r w:rsidR="009750FB">
        <w:rPr>
          <w:lang w:val="en-GB"/>
        </w:rPr>
        <w:t xml:space="preserve"> (e.g. 2019, 2020 etc.). </w:t>
      </w:r>
    </w:p>
    <w:p w14:paraId="22D3DBC5" w14:textId="1C27096A" w:rsidR="009750FB" w:rsidRDefault="00EA4337" w:rsidP="00AA6828">
      <w:pPr>
        <w:rPr>
          <w:lang w:val="en-GB"/>
        </w:rPr>
      </w:pPr>
      <w:r>
        <w:rPr>
          <w:lang w:val="en-GB"/>
        </w:rPr>
        <w:t>In alignment with the work</w:t>
      </w:r>
      <w:r w:rsidR="0062795A">
        <w:rPr>
          <w:lang w:val="en-GB"/>
        </w:rPr>
        <w:t xml:space="preserve"> </w:t>
      </w:r>
      <w:r>
        <w:rPr>
          <w:lang w:val="en-GB"/>
        </w:rPr>
        <w:t xml:space="preserve">packages and activities defined in the Project Proposal the Project </w:t>
      </w:r>
      <w:r w:rsidR="009750FB">
        <w:rPr>
          <w:lang w:val="en-GB"/>
        </w:rPr>
        <w:t>Budget</w:t>
      </w:r>
      <w:r>
        <w:rPr>
          <w:lang w:val="en-GB"/>
        </w:rPr>
        <w:t xml:space="preserve"> uses the </w:t>
      </w:r>
      <w:r w:rsidR="009750FB">
        <w:rPr>
          <w:lang w:val="en-GB"/>
        </w:rPr>
        <w:t>following</w:t>
      </w:r>
      <w:r>
        <w:rPr>
          <w:lang w:val="en-GB"/>
        </w:rPr>
        <w:t xml:space="preserve"> structure</w:t>
      </w:r>
      <w:r w:rsidR="009750FB">
        <w:rPr>
          <w:lang w:val="en-GB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E7ABE" w14:paraId="206748F1" w14:textId="77777777" w:rsidTr="006061EF">
        <w:tc>
          <w:tcPr>
            <w:tcW w:w="4531" w:type="dxa"/>
          </w:tcPr>
          <w:p w14:paraId="1DBE26F3" w14:textId="20A0E64D" w:rsidR="002E7ABE" w:rsidRPr="00AC4995" w:rsidRDefault="00EA4337" w:rsidP="00131F0C">
            <w:pPr>
              <w:pStyle w:val="ListParagraph"/>
              <w:numPr>
                <w:ilvl w:val="0"/>
                <w:numId w:val="2"/>
              </w:numPr>
              <w:ind w:left="993" w:hanging="633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</w:t>
            </w:r>
            <w:r w:rsidR="0062795A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package 1</w:t>
            </w:r>
          </w:p>
          <w:p w14:paraId="22E8F439" w14:textId="77777777" w:rsidR="002E7ABE" w:rsidRDefault="002E7ABE" w:rsidP="00131F0C">
            <w:pPr>
              <w:pStyle w:val="ListParagraph"/>
              <w:numPr>
                <w:ilvl w:val="1"/>
                <w:numId w:val="3"/>
              </w:numPr>
              <w:ind w:left="993" w:hanging="633"/>
              <w:rPr>
                <w:lang w:val="en-GB"/>
              </w:rPr>
            </w:pPr>
            <w:r w:rsidRPr="009750FB">
              <w:rPr>
                <w:lang w:val="en-GB"/>
              </w:rPr>
              <w:t>Activity 1</w:t>
            </w:r>
          </w:p>
          <w:p w14:paraId="5DEDEE2B" w14:textId="6F73716A" w:rsidR="002E7ABE" w:rsidRDefault="002E7ABE" w:rsidP="00131F0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Cost Component I</w:t>
            </w:r>
          </w:p>
          <w:p w14:paraId="0BD6E20F" w14:textId="47600097" w:rsidR="002E7ABE" w:rsidRDefault="002E7ABE" w:rsidP="00131F0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Cost Component II</w:t>
            </w:r>
          </w:p>
          <w:p w14:paraId="4DAB0548" w14:textId="77777777" w:rsidR="002E7ABE" w:rsidRPr="006061EF" w:rsidRDefault="002E7ABE" w:rsidP="00131F0C">
            <w:pPr>
              <w:pStyle w:val="ListParagraph"/>
              <w:numPr>
                <w:ilvl w:val="1"/>
                <w:numId w:val="3"/>
              </w:numPr>
              <w:ind w:left="993" w:hanging="633"/>
              <w:rPr>
                <w:lang w:val="en-GB"/>
              </w:rPr>
            </w:pPr>
            <w:r w:rsidRPr="006061EF">
              <w:rPr>
                <w:lang w:val="en-GB"/>
              </w:rPr>
              <w:t xml:space="preserve">Activity </w:t>
            </w:r>
            <w:r>
              <w:rPr>
                <w:lang w:val="en-GB"/>
              </w:rPr>
              <w:t>…</w:t>
            </w:r>
          </w:p>
          <w:p w14:paraId="34F67EF6" w14:textId="26C5E1FC" w:rsidR="002E7ABE" w:rsidRDefault="002E7ABE" w:rsidP="00131F0C">
            <w:pPr>
              <w:pStyle w:val="ListParagraph"/>
              <w:numPr>
                <w:ilvl w:val="2"/>
                <w:numId w:val="3"/>
              </w:numPr>
              <w:ind w:left="993" w:hanging="284"/>
              <w:rPr>
                <w:lang w:val="en-GB"/>
              </w:rPr>
            </w:pPr>
            <w:r>
              <w:rPr>
                <w:lang w:val="en-GB"/>
              </w:rPr>
              <w:t>Cost Component …</w:t>
            </w:r>
          </w:p>
          <w:p w14:paraId="7EADFDF9" w14:textId="16935449" w:rsidR="002E7ABE" w:rsidRDefault="002E7ABE" w:rsidP="00AA6828">
            <w:pPr>
              <w:rPr>
                <w:lang w:val="en-GB"/>
              </w:rPr>
            </w:pPr>
          </w:p>
        </w:tc>
      </w:tr>
    </w:tbl>
    <w:p w14:paraId="355D5686" w14:textId="77922CDB" w:rsidR="008B5E20" w:rsidRDefault="002710C7" w:rsidP="006061EF">
      <w:pPr>
        <w:rPr>
          <w:lang w:val="en-GB"/>
        </w:rPr>
      </w:pPr>
      <w:r>
        <w:rPr>
          <w:lang w:val="en-GB"/>
        </w:rPr>
        <w:t xml:space="preserve">Every Cost </w:t>
      </w:r>
      <w:r w:rsidR="00DE3B3E">
        <w:rPr>
          <w:lang w:val="en-GB"/>
        </w:rPr>
        <w:t>C</w:t>
      </w:r>
      <w:r>
        <w:rPr>
          <w:lang w:val="en-GB"/>
        </w:rPr>
        <w:t xml:space="preserve">omponent needs to be justified by; </w:t>
      </w:r>
    </w:p>
    <w:p w14:paraId="64405E09" w14:textId="0F58FE3A" w:rsidR="008B5E20" w:rsidRPr="0076313B" w:rsidRDefault="002710C7" w:rsidP="0076313B">
      <w:pPr>
        <w:pStyle w:val="ListParagraph"/>
        <w:numPr>
          <w:ilvl w:val="0"/>
          <w:numId w:val="20"/>
        </w:numPr>
        <w:rPr>
          <w:lang w:val="en-GB"/>
        </w:rPr>
      </w:pPr>
      <w:r w:rsidRPr="0076313B">
        <w:rPr>
          <w:lang w:val="en-GB"/>
        </w:rPr>
        <w:t>execut</w:t>
      </w:r>
      <w:r w:rsidR="008B5E20" w:rsidRPr="0076313B">
        <w:rPr>
          <w:lang w:val="en-GB"/>
        </w:rPr>
        <w:t>ing</w:t>
      </w:r>
      <w:r w:rsidRPr="0076313B">
        <w:rPr>
          <w:lang w:val="en-GB"/>
        </w:rPr>
        <w:t xml:space="preserve"> party</w:t>
      </w:r>
      <w:r w:rsidR="008B5E20" w:rsidRPr="0076313B">
        <w:rPr>
          <w:lang w:val="en-GB"/>
        </w:rPr>
        <w:t xml:space="preserve"> (e.g. IP, project partner, third party service provider);</w:t>
      </w:r>
      <w:r w:rsidRPr="0076313B">
        <w:rPr>
          <w:lang w:val="en-GB"/>
        </w:rPr>
        <w:t xml:space="preserve"> </w:t>
      </w:r>
    </w:p>
    <w:p w14:paraId="2481A720" w14:textId="641DB123" w:rsidR="008B5E20" w:rsidRPr="0076313B" w:rsidRDefault="002710C7" w:rsidP="0076313B">
      <w:pPr>
        <w:pStyle w:val="ListParagraph"/>
        <w:numPr>
          <w:ilvl w:val="0"/>
          <w:numId w:val="20"/>
        </w:numPr>
        <w:rPr>
          <w:lang w:val="en-GB"/>
        </w:rPr>
      </w:pPr>
      <w:r w:rsidRPr="0076313B">
        <w:rPr>
          <w:lang w:val="en-GB"/>
        </w:rPr>
        <w:t>unit name</w:t>
      </w:r>
      <w:r w:rsidR="008B5E20" w:rsidRPr="0076313B">
        <w:rPr>
          <w:lang w:val="en-GB"/>
        </w:rPr>
        <w:t xml:space="preserve"> (e.g. Euro/hour, Euro/km, consultancy contract);</w:t>
      </w:r>
      <w:r w:rsidRPr="0076313B">
        <w:rPr>
          <w:lang w:val="en-GB"/>
        </w:rPr>
        <w:t xml:space="preserve"> </w:t>
      </w:r>
    </w:p>
    <w:p w14:paraId="63F5BF7B" w14:textId="77777777" w:rsidR="00504AC5" w:rsidRPr="0076313B" w:rsidRDefault="002710C7" w:rsidP="0076313B">
      <w:pPr>
        <w:pStyle w:val="ListParagraph"/>
        <w:numPr>
          <w:ilvl w:val="0"/>
          <w:numId w:val="20"/>
        </w:numPr>
        <w:rPr>
          <w:lang w:val="en-GB"/>
        </w:rPr>
      </w:pPr>
      <w:r w:rsidRPr="0076313B">
        <w:rPr>
          <w:lang w:val="en-GB"/>
        </w:rPr>
        <w:t>unit cost</w:t>
      </w:r>
      <w:r w:rsidR="00504AC5" w:rsidRPr="0076313B">
        <w:rPr>
          <w:lang w:val="en-GB"/>
        </w:rPr>
        <w:t>;</w:t>
      </w:r>
      <w:r w:rsidRPr="0076313B">
        <w:rPr>
          <w:lang w:val="en-GB"/>
        </w:rPr>
        <w:t xml:space="preserve"> </w:t>
      </w:r>
    </w:p>
    <w:p w14:paraId="0543A3EF" w14:textId="77777777" w:rsidR="00504AC5" w:rsidRPr="00504AC5" w:rsidRDefault="002710C7" w:rsidP="0076313B">
      <w:pPr>
        <w:pStyle w:val="ListParagraph"/>
        <w:numPr>
          <w:ilvl w:val="0"/>
          <w:numId w:val="20"/>
        </w:numPr>
        <w:rPr>
          <w:lang w:val="en-GB"/>
        </w:rPr>
      </w:pPr>
      <w:r w:rsidRPr="0076313B">
        <w:rPr>
          <w:lang w:val="en-GB"/>
        </w:rPr>
        <w:t>and number of units</w:t>
      </w:r>
      <w:r w:rsidRPr="00504AC5">
        <w:rPr>
          <w:lang w:val="en-GB"/>
        </w:rPr>
        <w:t xml:space="preserve">. </w:t>
      </w:r>
    </w:p>
    <w:p w14:paraId="394D872D" w14:textId="572CB99E" w:rsidR="00D1225A" w:rsidRPr="006061EF" w:rsidRDefault="002710C7" w:rsidP="006061EF">
      <w:pPr>
        <w:rPr>
          <w:lang w:val="en-GB"/>
        </w:rPr>
      </w:pPr>
      <w:r w:rsidRPr="00504AC5">
        <w:rPr>
          <w:lang w:val="en-GB"/>
        </w:rPr>
        <w:t xml:space="preserve">Based on this information the </w:t>
      </w:r>
      <w:r w:rsidR="00504AC5">
        <w:rPr>
          <w:lang w:val="en-GB"/>
        </w:rPr>
        <w:t xml:space="preserve">total amount per cost component </w:t>
      </w:r>
      <w:r w:rsidR="00C24F89">
        <w:rPr>
          <w:lang w:val="en-GB"/>
        </w:rPr>
        <w:t>is</w:t>
      </w:r>
      <w:r w:rsidR="00504AC5">
        <w:rPr>
          <w:lang w:val="en-GB"/>
        </w:rPr>
        <w:t xml:space="preserve"> </w:t>
      </w:r>
      <w:r w:rsidR="00DE3B3E" w:rsidRPr="00504AC5">
        <w:rPr>
          <w:lang w:val="en-GB"/>
        </w:rPr>
        <w:t xml:space="preserve">calculated </w:t>
      </w:r>
      <w:r w:rsidR="00504AC5">
        <w:rPr>
          <w:lang w:val="en-GB"/>
        </w:rPr>
        <w:t>by multiplying the unit costs with the number of units (</w:t>
      </w:r>
      <w:r w:rsidR="00DE3B3E" w:rsidRPr="00504AC5">
        <w:rPr>
          <w:lang w:val="en-GB"/>
        </w:rPr>
        <w:t>multiplication option in Excel</w:t>
      </w:r>
      <w:r w:rsidR="00504AC5">
        <w:rPr>
          <w:lang w:val="en-GB"/>
        </w:rPr>
        <w:t xml:space="preserve">: </w:t>
      </w:r>
      <w:r w:rsidR="00DE3B3E" w:rsidRPr="00504AC5">
        <w:rPr>
          <w:lang w:val="en-GB"/>
        </w:rPr>
        <w:t>=’</w:t>
      </w:r>
      <w:r w:rsidR="00295EF9" w:rsidRPr="00504AC5">
        <w:rPr>
          <w:lang w:val="en-GB"/>
        </w:rPr>
        <w:t>cell</w:t>
      </w:r>
      <w:r w:rsidR="00DE3B3E" w:rsidRPr="00504AC5">
        <w:rPr>
          <w:lang w:val="en-GB"/>
        </w:rPr>
        <w:t>’*’</w:t>
      </w:r>
      <w:r w:rsidR="00295EF9" w:rsidRPr="00504AC5">
        <w:rPr>
          <w:lang w:val="en-GB"/>
        </w:rPr>
        <w:t>cell</w:t>
      </w:r>
      <w:r w:rsidR="00DE3B3E" w:rsidRPr="00504AC5">
        <w:rPr>
          <w:lang w:val="en-GB"/>
        </w:rPr>
        <w:t>’</w:t>
      </w:r>
      <w:r w:rsidR="00C24F89">
        <w:rPr>
          <w:lang w:val="en-GB"/>
        </w:rPr>
        <w:t xml:space="preserve"> in e.g. column ‘K’)</w:t>
      </w:r>
      <w:r w:rsidR="00DE3B3E" w:rsidRPr="00504AC5">
        <w:rPr>
          <w:lang w:val="en-GB"/>
        </w:rPr>
        <w:t xml:space="preserve">. </w:t>
      </w:r>
      <w:r w:rsidR="00A37F66">
        <w:rPr>
          <w:lang w:val="en-GB"/>
        </w:rPr>
        <w:t>Subsequently</w:t>
      </w:r>
      <w:r w:rsidR="00C24F89">
        <w:rPr>
          <w:lang w:val="en-GB"/>
        </w:rPr>
        <w:t>,</w:t>
      </w:r>
      <w:r w:rsidR="00A37F66">
        <w:rPr>
          <w:lang w:val="en-GB"/>
        </w:rPr>
        <w:t xml:space="preserve"> the total cost can be distributed over the </w:t>
      </w:r>
      <w:r w:rsidR="00901C41">
        <w:rPr>
          <w:lang w:val="en-GB"/>
        </w:rPr>
        <w:t xml:space="preserve">different </w:t>
      </w:r>
      <w:r w:rsidR="00A37F66">
        <w:rPr>
          <w:lang w:val="en-GB"/>
        </w:rPr>
        <w:t>project partners (IDH, IP and if applicable other partners).</w:t>
      </w:r>
    </w:p>
    <w:tbl>
      <w:tblPr>
        <w:tblW w:w="9356" w:type="dxa"/>
        <w:shd w:val="clear" w:color="auto" w:fill="006600"/>
        <w:tblLook w:val="04A0" w:firstRow="1" w:lastRow="0" w:firstColumn="1" w:lastColumn="0" w:noHBand="0" w:noVBand="1"/>
      </w:tblPr>
      <w:tblGrid>
        <w:gridCol w:w="2640"/>
        <w:gridCol w:w="1320"/>
        <w:gridCol w:w="1320"/>
        <w:gridCol w:w="1660"/>
        <w:gridCol w:w="1660"/>
        <w:gridCol w:w="756"/>
      </w:tblGrid>
      <w:tr w:rsidR="004813D5" w:rsidRPr="002876F6" w14:paraId="29B5644C" w14:textId="77777777" w:rsidTr="00632560">
        <w:trPr>
          <w:trHeight w:val="16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3E1DFA2A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1" w:name="_Hlk9409485"/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1F12FFCA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36EBBCC1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0CB4FFD3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16C6EE9D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noWrap/>
            <w:vAlign w:val="center"/>
            <w:hideMark/>
          </w:tcPr>
          <w:p w14:paraId="68BCAFE9" w14:textId="77777777" w:rsidR="004813D5" w:rsidRPr="004813D5" w:rsidRDefault="004813D5" w:rsidP="00632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bookmarkEnd w:id="1"/>
    <w:p w14:paraId="51598489" w14:textId="77777777" w:rsidR="004813D5" w:rsidRDefault="004813D5" w:rsidP="004813D5">
      <w:pPr>
        <w:ind w:left="1416" w:hanging="1416"/>
        <w:rPr>
          <w:b/>
          <w:lang w:val="en-GB"/>
        </w:rPr>
      </w:pPr>
      <w:r>
        <w:rPr>
          <w:b/>
          <w:lang w:val="en-GB"/>
        </w:rPr>
        <w:t>Actuals</w:t>
      </w:r>
    </w:p>
    <w:p w14:paraId="2CF68726" w14:textId="07287D83" w:rsidR="004813D5" w:rsidRDefault="00943B13" w:rsidP="00943B13">
      <w:pPr>
        <w:rPr>
          <w:lang w:val="en-GB"/>
        </w:rPr>
      </w:pPr>
      <w:r>
        <w:rPr>
          <w:lang w:val="en-GB"/>
        </w:rPr>
        <w:t xml:space="preserve">Semi-annually every </w:t>
      </w:r>
      <w:r w:rsidR="00DB1AC2">
        <w:rPr>
          <w:lang w:val="en-GB"/>
        </w:rPr>
        <w:t>IP</w:t>
      </w:r>
      <w:r>
        <w:rPr>
          <w:lang w:val="en-GB"/>
        </w:rPr>
        <w:t xml:space="preserve"> is obliged to hand-in their actual spending </w:t>
      </w:r>
      <w:r w:rsidR="00B4713A">
        <w:rPr>
          <w:lang w:val="en-GB"/>
        </w:rPr>
        <w:t>for the reporting period</w:t>
      </w:r>
      <w:r>
        <w:rPr>
          <w:lang w:val="en-GB"/>
        </w:rPr>
        <w:t xml:space="preserve">. </w:t>
      </w:r>
      <w:r w:rsidR="00944476">
        <w:rPr>
          <w:lang w:val="en-GB"/>
        </w:rPr>
        <w:t xml:space="preserve">The </w:t>
      </w:r>
      <w:r w:rsidR="00B4713A">
        <w:rPr>
          <w:lang w:val="en-GB"/>
        </w:rPr>
        <w:t xml:space="preserve">standard </w:t>
      </w:r>
      <w:r w:rsidR="00944476">
        <w:rPr>
          <w:lang w:val="en-GB"/>
        </w:rPr>
        <w:t>reporting schedule is</w:t>
      </w:r>
      <w:r w:rsidR="00944476" w:rsidRPr="00944476">
        <w:rPr>
          <w:lang w:val="en-GB"/>
        </w:rPr>
        <w:t xml:space="preserve"> Jan</w:t>
      </w:r>
      <w:r w:rsidR="00B4713A">
        <w:rPr>
          <w:lang w:val="en-GB"/>
        </w:rPr>
        <w:t>uary</w:t>
      </w:r>
      <w:r w:rsidR="00944476" w:rsidRPr="00944476">
        <w:rPr>
          <w:lang w:val="en-GB"/>
        </w:rPr>
        <w:t xml:space="preserve"> – Jun</w:t>
      </w:r>
      <w:r w:rsidR="00B4713A">
        <w:rPr>
          <w:lang w:val="en-GB"/>
        </w:rPr>
        <w:t>e</w:t>
      </w:r>
      <w:r w:rsidR="00944476" w:rsidRPr="00944476">
        <w:rPr>
          <w:lang w:val="en-GB"/>
        </w:rPr>
        <w:t xml:space="preserve"> </w:t>
      </w:r>
      <w:r w:rsidR="00B4713A">
        <w:rPr>
          <w:lang w:val="en-GB"/>
        </w:rPr>
        <w:t>(</w:t>
      </w:r>
      <w:r w:rsidR="00944476" w:rsidRPr="00944476">
        <w:rPr>
          <w:lang w:val="en-GB"/>
        </w:rPr>
        <w:t>due 1st September</w:t>
      </w:r>
      <w:r w:rsidR="00B4713A">
        <w:rPr>
          <w:lang w:val="en-GB"/>
        </w:rPr>
        <w:t>)</w:t>
      </w:r>
      <w:r w:rsidR="00944476" w:rsidRPr="00944476">
        <w:rPr>
          <w:lang w:val="en-GB"/>
        </w:rPr>
        <w:t xml:space="preserve"> and </w:t>
      </w:r>
      <w:r w:rsidR="00CE7133">
        <w:rPr>
          <w:lang w:val="en-GB"/>
        </w:rPr>
        <w:t>Jan</w:t>
      </w:r>
      <w:r w:rsidR="00B4713A">
        <w:rPr>
          <w:lang w:val="en-GB"/>
        </w:rPr>
        <w:t>uary</w:t>
      </w:r>
      <w:r w:rsidR="00944476" w:rsidRPr="00944476">
        <w:rPr>
          <w:lang w:val="en-GB"/>
        </w:rPr>
        <w:t xml:space="preserve"> – Dec</w:t>
      </w:r>
      <w:r w:rsidR="00B4713A">
        <w:rPr>
          <w:lang w:val="en-GB"/>
        </w:rPr>
        <w:t>ember</w:t>
      </w:r>
      <w:r w:rsidR="00944476" w:rsidRPr="00944476">
        <w:rPr>
          <w:lang w:val="en-GB"/>
        </w:rPr>
        <w:t xml:space="preserve"> </w:t>
      </w:r>
      <w:r w:rsidR="00B4713A">
        <w:rPr>
          <w:lang w:val="en-GB"/>
        </w:rPr>
        <w:t>(</w:t>
      </w:r>
      <w:r w:rsidR="00944476" w:rsidRPr="00944476">
        <w:rPr>
          <w:lang w:val="en-GB"/>
        </w:rPr>
        <w:t>due 1st March</w:t>
      </w:r>
      <w:r w:rsidR="00B4713A">
        <w:rPr>
          <w:lang w:val="en-GB"/>
        </w:rPr>
        <w:t>)</w:t>
      </w:r>
      <w:r w:rsidR="00944476" w:rsidRPr="00944476">
        <w:rPr>
          <w:lang w:val="en-GB"/>
        </w:rPr>
        <w:t>.</w:t>
      </w:r>
      <w:r w:rsidR="00B4713A">
        <w:rPr>
          <w:lang w:val="en-GB"/>
        </w:rPr>
        <w:t xml:space="preserve"> Project specific reporting schedules are documented in the Funding Agreement signed between IDH and the IP. </w:t>
      </w:r>
      <w:r w:rsidR="00944476" w:rsidRPr="00944476">
        <w:rPr>
          <w:lang w:val="en-GB"/>
        </w:rPr>
        <w:t xml:space="preserve"> </w:t>
      </w:r>
    </w:p>
    <w:p w14:paraId="7D553664" w14:textId="52147FCB" w:rsidR="00944476" w:rsidRDefault="00DB1AC2" w:rsidP="00F65962">
      <w:pPr>
        <w:ind w:left="1410" w:hanging="1410"/>
        <w:rPr>
          <w:lang w:val="en-GB"/>
        </w:rPr>
      </w:pPr>
      <w:r>
        <w:rPr>
          <w:b/>
          <w:lang w:val="en-GB"/>
        </w:rPr>
        <w:t xml:space="preserve">Half-year </w:t>
      </w:r>
      <w:r>
        <w:rPr>
          <w:b/>
          <w:lang w:val="en-GB"/>
        </w:rPr>
        <w:tab/>
      </w:r>
      <w:r w:rsidR="006C2DF1">
        <w:rPr>
          <w:lang w:val="en-GB"/>
        </w:rPr>
        <w:t>t</w:t>
      </w:r>
      <w:r>
        <w:rPr>
          <w:lang w:val="en-GB"/>
        </w:rPr>
        <w:t xml:space="preserve">he </w:t>
      </w:r>
      <w:r w:rsidR="00D1225A">
        <w:rPr>
          <w:lang w:val="en-GB"/>
        </w:rPr>
        <w:t>accrued</w:t>
      </w:r>
      <w:r>
        <w:rPr>
          <w:lang w:val="en-GB"/>
        </w:rPr>
        <w:t xml:space="preserve"> (half-year) spending of Jan</w:t>
      </w:r>
      <w:r w:rsidR="004002F2">
        <w:rPr>
          <w:lang w:val="en-GB"/>
        </w:rPr>
        <w:t>uary</w:t>
      </w:r>
      <w:r>
        <w:rPr>
          <w:lang w:val="en-GB"/>
        </w:rPr>
        <w:t xml:space="preserve"> – Jun</w:t>
      </w:r>
      <w:r w:rsidR="004002F2">
        <w:rPr>
          <w:lang w:val="en-GB"/>
        </w:rPr>
        <w:t>e</w:t>
      </w:r>
      <w:r>
        <w:rPr>
          <w:lang w:val="en-GB"/>
        </w:rPr>
        <w:t xml:space="preserve"> 2019 must be given in column N – P</w:t>
      </w:r>
      <w:r w:rsidR="00F65962">
        <w:rPr>
          <w:lang w:val="en-GB"/>
        </w:rPr>
        <w:t xml:space="preserve"> of sheet “</w:t>
      </w:r>
      <w:r w:rsidR="00F65962" w:rsidRPr="00F65962">
        <w:rPr>
          <w:lang w:val="en-GB"/>
        </w:rPr>
        <w:t xml:space="preserve">2019 </w:t>
      </w:r>
      <w:r w:rsidR="00820825">
        <w:rPr>
          <w:lang w:val="en-GB"/>
        </w:rPr>
        <w:t>–</w:t>
      </w:r>
      <w:r w:rsidR="00F65962" w:rsidRPr="00F65962">
        <w:rPr>
          <w:lang w:val="en-GB"/>
        </w:rPr>
        <w:t xml:space="preserve"> Budget</w:t>
      </w:r>
      <w:r w:rsidR="005B6809">
        <w:rPr>
          <w:lang w:val="en-GB"/>
        </w:rPr>
        <w:t>,</w:t>
      </w:r>
      <w:r w:rsidR="00F65962" w:rsidRPr="00F65962">
        <w:rPr>
          <w:lang w:val="en-GB"/>
        </w:rPr>
        <w:t xml:space="preserve"> Actual</w:t>
      </w:r>
      <w:r w:rsidR="005B6809">
        <w:rPr>
          <w:lang w:val="en-GB"/>
        </w:rPr>
        <w:t xml:space="preserve"> &amp; Forec.</w:t>
      </w:r>
      <w:r w:rsidR="00820825">
        <w:rPr>
          <w:lang w:val="en-GB"/>
        </w:rPr>
        <w:t>”</w:t>
      </w:r>
    </w:p>
    <w:p w14:paraId="110DC576" w14:textId="50201EC8" w:rsidR="0033170C" w:rsidRDefault="00DB1AC2" w:rsidP="00C24F89">
      <w:pPr>
        <w:ind w:left="1410" w:hanging="1410"/>
        <w:rPr>
          <w:lang w:val="en-GB"/>
        </w:rPr>
      </w:pPr>
      <w:r>
        <w:rPr>
          <w:b/>
          <w:lang w:val="en-GB"/>
        </w:rPr>
        <w:t>Full-year</w:t>
      </w:r>
      <w:r>
        <w:rPr>
          <w:b/>
          <w:lang w:val="en-GB"/>
        </w:rPr>
        <w:tab/>
      </w:r>
      <w:r w:rsidR="006C2DF1">
        <w:rPr>
          <w:lang w:val="en-GB"/>
        </w:rPr>
        <w:t>t</w:t>
      </w:r>
      <w:r>
        <w:rPr>
          <w:lang w:val="en-GB"/>
        </w:rPr>
        <w:t xml:space="preserve">he </w:t>
      </w:r>
      <w:r w:rsidR="00D1225A">
        <w:rPr>
          <w:lang w:val="en-GB"/>
        </w:rPr>
        <w:t>accrued</w:t>
      </w:r>
      <w:r>
        <w:rPr>
          <w:lang w:val="en-GB"/>
        </w:rPr>
        <w:t xml:space="preserve"> (full-year) spending of Jan</w:t>
      </w:r>
      <w:r w:rsidR="004002F2">
        <w:rPr>
          <w:lang w:val="en-GB"/>
        </w:rPr>
        <w:t>uary</w:t>
      </w:r>
      <w:r>
        <w:rPr>
          <w:lang w:val="en-GB"/>
        </w:rPr>
        <w:t xml:space="preserve"> – Dec</w:t>
      </w:r>
      <w:r w:rsidR="004002F2">
        <w:rPr>
          <w:lang w:val="en-GB"/>
        </w:rPr>
        <w:t>ember</w:t>
      </w:r>
      <w:r>
        <w:rPr>
          <w:lang w:val="en-GB"/>
        </w:rPr>
        <w:t xml:space="preserve"> 2019 must be given in column T – X </w:t>
      </w:r>
      <w:r w:rsidR="00F65962">
        <w:rPr>
          <w:lang w:val="en-GB"/>
        </w:rPr>
        <w:t>of sheet “</w:t>
      </w:r>
      <w:r w:rsidR="00F65962" w:rsidRPr="00F65962">
        <w:rPr>
          <w:lang w:val="en-GB"/>
        </w:rPr>
        <w:t>2019 - Budget, Actual &amp; Forec.</w:t>
      </w:r>
      <w:r w:rsidR="00F65962">
        <w:rPr>
          <w:lang w:val="en-GB"/>
        </w:rPr>
        <w:t xml:space="preserve">” </w:t>
      </w:r>
      <w:r>
        <w:rPr>
          <w:lang w:val="en-GB"/>
        </w:rPr>
        <w:t xml:space="preserve">Based on these figures, a deviation </w:t>
      </w:r>
      <w:r w:rsidR="000B27C5">
        <w:rPr>
          <w:lang w:val="en-GB"/>
        </w:rPr>
        <w:t xml:space="preserve">is calculated on </w:t>
      </w:r>
      <w:r w:rsidR="005449DC">
        <w:rPr>
          <w:lang w:val="en-GB"/>
        </w:rPr>
        <w:t>Work package</w:t>
      </w:r>
      <w:r w:rsidR="000B27C5">
        <w:rPr>
          <w:lang w:val="en-GB"/>
        </w:rPr>
        <w:t xml:space="preserve"> level </w:t>
      </w:r>
      <w:r>
        <w:rPr>
          <w:lang w:val="en-GB"/>
        </w:rPr>
        <w:t xml:space="preserve">between the Project Budget and Year Actual. If the Actual </w:t>
      </w:r>
      <w:r w:rsidR="00820825">
        <w:rPr>
          <w:lang w:val="en-GB"/>
        </w:rPr>
        <w:t xml:space="preserve">total </w:t>
      </w:r>
      <w:r>
        <w:rPr>
          <w:lang w:val="en-GB"/>
        </w:rPr>
        <w:t xml:space="preserve">spending deviates &lt; -10% or &gt; 10%, an explanation should be given </w:t>
      </w:r>
      <w:r w:rsidR="00820825">
        <w:rPr>
          <w:lang w:val="en-GB"/>
        </w:rPr>
        <w:t>in the reporting sheet</w:t>
      </w:r>
      <w:r>
        <w:rPr>
          <w:lang w:val="en-GB"/>
        </w:rPr>
        <w:t>.</w:t>
      </w:r>
      <w:r w:rsidR="00820825">
        <w:rPr>
          <w:lang w:val="en-GB"/>
        </w:rPr>
        <w:t xml:space="preserve"> This explanation should be in line with the narrative report provided alongside the financial reporting. </w:t>
      </w:r>
    </w:p>
    <w:p w14:paraId="4C0A4898" w14:textId="39D11CBB" w:rsidR="00D1225A" w:rsidRDefault="00D1225A" w:rsidP="00D1225A">
      <w:pPr>
        <w:rPr>
          <w:lang w:val="en-GB"/>
        </w:rPr>
      </w:pPr>
      <w:r>
        <w:rPr>
          <w:lang w:val="en-GB"/>
        </w:rPr>
        <w:t xml:space="preserve">The above given example </w:t>
      </w:r>
      <w:r w:rsidR="001D0897">
        <w:rPr>
          <w:lang w:val="en-GB"/>
        </w:rPr>
        <w:t>regarding</w:t>
      </w:r>
      <w:r>
        <w:rPr>
          <w:lang w:val="en-GB"/>
        </w:rPr>
        <w:t xml:space="preserve"> 2019 is followed in the </w:t>
      </w:r>
      <w:r w:rsidR="001D0897">
        <w:rPr>
          <w:lang w:val="en-GB"/>
        </w:rPr>
        <w:t>consecutive</w:t>
      </w:r>
      <w:r>
        <w:rPr>
          <w:lang w:val="en-GB"/>
        </w:rPr>
        <w:t xml:space="preserve"> years in the project partners columns of ‘</w:t>
      </w:r>
      <w:r w:rsidRPr="00D1225A">
        <w:rPr>
          <w:lang w:val="en-GB"/>
        </w:rPr>
        <w:t>Midterm report Year 20</w:t>
      </w:r>
      <w:r>
        <w:rPr>
          <w:lang w:val="en-GB"/>
        </w:rPr>
        <w:t>xx</w:t>
      </w:r>
      <w:r w:rsidRPr="00D1225A">
        <w:rPr>
          <w:lang w:val="en-GB"/>
        </w:rPr>
        <w:t xml:space="preserve"> (Actuals)</w:t>
      </w:r>
      <w:r>
        <w:rPr>
          <w:lang w:val="en-GB"/>
        </w:rPr>
        <w:t>’ and ‘</w:t>
      </w:r>
      <w:r w:rsidRPr="00D1225A">
        <w:rPr>
          <w:lang w:val="en-GB"/>
        </w:rPr>
        <w:t>End year report Year 2020 (actuals)</w:t>
      </w:r>
      <w:r>
        <w:rPr>
          <w:lang w:val="en-GB"/>
        </w:rPr>
        <w:t xml:space="preserve">’. </w:t>
      </w:r>
    </w:p>
    <w:p w14:paraId="06778AF2" w14:textId="77777777" w:rsidR="001D0897" w:rsidRPr="00CE7133" w:rsidRDefault="001D0897" w:rsidP="00D1225A">
      <w:pPr>
        <w:rPr>
          <w:lang w:val="en-GB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2640"/>
        <w:gridCol w:w="1320"/>
        <w:gridCol w:w="1320"/>
        <w:gridCol w:w="1660"/>
        <w:gridCol w:w="1660"/>
        <w:gridCol w:w="1660"/>
        <w:gridCol w:w="756"/>
      </w:tblGrid>
      <w:tr w:rsidR="0033170C" w:rsidRPr="002876F6" w14:paraId="233739BA" w14:textId="77777777" w:rsidTr="0033170C">
        <w:trPr>
          <w:trHeight w:val="16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52EA2B38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7C88D2C4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280A97B9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</w:tcPr>
          <w:p w14:paraId="0E64E9A0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396B6B0D" w14:textId="5FF3287B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68F69934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center"/>
            <w:hideMark/>
          </w:tcPr>
          <w:p w14:paraId="576044AB" w14:textId="77777777" w:rsidR="0033170C" w:rsidRPr="004813D5" w:rsidRDefault="0033170C" w:rsidP="00481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813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223A0EC9" w14:textId="77777777" w:rsidR="004813D5" w:rsidRDefault="004813D5" w:rsidP="004813D5">
      <w:pPr>
        <w:ind w:left="1416" w:hanging="1416"/>
        <w:rPr>
          <w:b/>
          <w:lang w:val="en-GB"/>
        </w:rPr>
      </w:pPr>
      <w:r>
        <w:rPr>
          <w:b/>
          <w:lang w:val="en-GB"/>
        </w:rPr>
        <w:t>Forecast</w:t>
      </w:r>
    </w:p>
    <w:p w14:paraId="385A99A7" w14:textId="3512B98D" w:rsidR="005A3E93" w:rsidRPr="0076313B" w:rsidRDefault="00A85171">
      <w:pPr>
        <w:rPr>
          <w:lang w:val="en-GB"/>
        </w:rPr>
      </w:pPr>
      <w:r>
        <w:rPr>
          <w:lang w:val="en-GB"/>
        </w:rPr>
        <w:t>When submitting the full-year actuals (due 1</w:t>
      </w:r>
      <w:r w:rsidRPr="00A85171">
        <w:rPr>
          <w:vertAlign w:val="superscript"/>
          <w:lang w:val="en-GB"/>
        </w:rPr>
        <w:t>st</w:t>
      </w:r>
      <w:r>
        <w:rPr>
          <w:lang w:val="en-GB"/>
        </w:rPr>
        <w:t xml:space="preserve"> March), the IP should also </w:t>
      </w:r>
      <w:r w:rsidR="00820825">
        <w:rPr>
          <w:lang w:val="en-GB"/>
        </w:rPr>
        <w:t xml:space="preserve">submit </w:t>
      </w:r>
      <w:r>
        <w:rPr>
          <w:lang w:val="en-GB"/>
        </w:rPr>
        <w:t>the Forecast</w:t>
      </w:r>
      <w:r w:rsidR="00820825">
        <w:rPr>
          <w:lang w:val="en-GB"/>
        </w:rPr>
        <w:t xml:space="preserve"> for the </w:t>
      </w:r>
      <w:r w:rsidR="00820825" w:rsidRPr="0076313B">
        <w:rPr>
          <w:lang w:val="en-GB"/>
        </w:rPr>
        <w:t>subsequent year(s)</w:t>
      </w:r>
      <w:r w:rsidRPr="0076313B">
        <w:rPr>
          <w:lang w:val="en-GB"/>
        </w:rPr>
        <w:t xml:space="preserve">. The </w:t>
      </w:r>
      <w:r w:rsidR="00820825" w:rsidRPr="0076313B">
        <w:rPr>
          <w:lang w:val="en-GB"/>
        </w:rPr>
        <w:t>F</w:t>
      </w:r>
      <w:r w:rsidRPr="0076313B">
        <w:rPr>
          <w:lang w:val="en-GB"/>
        </w:rPr>
        <w:t xml:space="preserve">orecast is automatically linked with the </w:t>
      </w:r>
      <w:r w:rsidR="00820825" w:rsidRPr="0076313B">
        <w:rPr>
          <w:lang w:val="en-GB"/>
        </w:rPr>
        <w:t xml:space="preserve">original </w:t>
      </w:r>
      <w:r w:rsidRPr="0076313B">
        <w:rPr>
          <w:lang w:val="en-GB"/>
        </w:rPr>
        <w:t>Budget</w:t>
      </w:r>
      <w:r w:rsidR="00820825" w:rsidRPr="0076313B">
        <w:rPr>
          <w:lang w:val="en-GB"/>
        </w:rPr>
        <w:t xml:space="preserve"> for the subsequent year</w:t>
      </w:r>
      <w:r w:rsidRPr="0076313B">
        <w:rPr>
          <w:lang w:val="en-GB"/>
        </w:rPr>
        <w:t xml:space="preserve">. </w:t>
      </w:r>
      <w:r w:rsidR="000C6B84" w:rsidRPr="0076313B">
        <w:rPr>
          <w:lang w:val="en-GB"/>
        </w:rPr>
        <w:t xml:space="preserve">If the expected cost deviate </w:t>
      </w:r>
      <w:r w:rsidR="00D36F69" w:rsidRPr="0076313B">
        <w:rPr>
          <w:lang w:val="en-GB"/>
        </w:rPr>
        <w:t xml:space="preserve">significantly </w:t>
      </w:r>
      <w:r w:rsidR="000C6B84" w:rsidRPr="0076313B">
        <w:rPr>
          <w:lang w:val="en-GB"/>
        </w:rPr>
        <w:t xml:space="preserve">from the </w:t>
      </w:r>
      <w:r w:rsidR="00820825" w:rsidRPr="0076313B">
        <w:rPr>
          <w:lang w:val="en-GB"/>
        </w:rPr>
        <w:t xml:space="preserve">original </w:t>
      </w:r>
      <w:r w:rsidR="000C6B84" w:rsidRPr="0076313B">
        <w:rPr>
          <w:lang w:val="en-GB"/>
        </w:rPr>
        <w:t xml:space="preserve">Budget, the IP must change the </w:t>
      </w:r>
      <w:r w:rsidR="00D36F69" w:rsidRPr="0076313B">
        <w:rPr>
          <w:lang w:val="en-GB"/>
        </w:rPr>
        <w:t xml:space="preserve">budget-line based </w:t>
      </w:r>
      <w:r w:rsidR="00761317" w:rsidRPr="0076313B">
        <w:rPr>
          <w:lang w:val="en-GB"/>
        </w:rPr>
        <w:t>on</w:t>
      </w:r>
      <w:r w:rsidR="00820825" w:rsidRPr="0076313B">
        <w:rPr>
          <w:lang w:val="en-GB"/>
        </w:rPr>
        <w:t xml:space="preserve"> updated</w:t>
      </w:r>
      <w:r w:rsidR="00D36F69" w:rsidRPr="0076313B">
        <w:rPr>
          <w:lang w:val="en-GB"/>
        </w:rPr>
        <w:t xml:space="preserve"> </w:t>
      </w:r>
      <w:r w:rsidR="00D36F69" w:rsidRPr="0076313B">
        <w:rPr>
          <w:u w:val="single"/>
          <w:lang w:val="en-GB"/>
        </w:rPr>
        <w:t>unit name, unit cost and number of units</w:t>
      </w:r>
      <w:r w:rsidR="00D36F69" w:rsidRPr="0076313B">
        <w:rPr>
          <w:lang w:val="en-GB"/>
        </w:rPr>
        <w:t xml:space="preserve"> of the following parts: </w:t>
      </w:r>
    </w:p>
    <w:p w14:paraId="6CEF9B15" w14:textId="4590A3B9" w:rsidR="00D36F69" w:rsidRDefault="005B6809" w:rsidP="005A3E93">
      <w:pPr>
        <w:rPr>
          <w:b/>
          <w:lang w:val="en-GB"/>
        </w:rPr>
      </w:pPr>
      <w:r>
        <w:rPr>
          <w:lang w:val="en-GB"/>
        </w:rPr>
        <w:t>It is not possible to add new activity’s</w:t>
      </w:r>
      <w:r w:rsidR="004B2B57">
        <w:rPr>
          <w:lang w:val="en-GB"/>
        </w:rPr>
        <w:t xml:space="preserve"> or </w:t>
      </w:r>
      <w:r>
        <w:rPr>
          <w:lang w:val="en-GB"/>
        </w:rPr>
        <w:t xml:space="preserve">cost component to the </w:t>
      </w:r>
      <w:r w:rsidR="004B2B57">
        <w:rPr>
          <w:lang w:val="en-GB"/>
        </w:rPr>
        <w:t xml:space="preserve">Actuals or </w:t>
      </w:r>
      <w:r>
        <w:rPr>
          <w:lang w:val="en-GB"/>
        </w:rPr>
        <w:t>Forecast without prior approval from IDH</w:t>
      </w:r>
      <w:r w:rsidR="00141588">
        <w:rPr>
          <w:b/>
          <w:lang w:val="en-GB"/>
        </w:rPr>
        <w:t>.</w:t>
      </w:r>
    </w:p>
    <w:sectPr w:rsidR="00D36F69" w:rsidSect="004428B4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ECEC" w14:textId="77777777" w:rsidR="007E0133" w:rsidRDefault="007E0133" w:rsidP="004428B4">
      <w:pPr>
        <w:spacing w:after="0" w:line="240" w:lineRule="auto"/>
      </w:pPr>
      <w:r>
        <w:separator/>
      </w:r>
    </w:p>
  </w:endnote>
  <w:endnote w:type="continuationSeparator" w:id="0">
    <w:p w14:paraId="738E3E13" w14:textId="77777777" w:rsidR="007E0133" w:rsidRDefault="007E0133" w:rsidP="0044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EF">
    <w:altName w:val="SwiftE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E086" w14:textId="3C0629C0" w:rsidR="004574A8" w:rsidRPr="0033170C" w:rsidRDefault="0033170C" w:rsidP="0033170C">
    <w:pPr>
      <w:pStyle w:val="Footer"/>
      <w:rPr>
        <w:lang w:val="en-GB"/>
      </w:rPr>
    </w:pPr>
    <w:r w:rsidRPr="0033170C">
      <w:rPr>
        <w:lang w:val="en-GB"/>
      </w:rPr>
      <w:t>IDH HQ / Version: Ma</w:t>
    </w:r>
    <w:r w:rsidR="00D92DC5">
      <w:rPr>
        <w:lang w:val="en-GB"/>
      </w:rPr>
      <w:t>y 22</w:t>
    </w:r>
    <w:r w:rsidRPr="0033170C">
      <w:rPr>
        <w:lang w:val="en-GB"/>
      </w:rPr>
      <w:t xml:space="preserve">, 2019 </w:t>
    </w:r>
    <w:r w:rsidRPr="0033170C">
      <w:rPr>
        <w:lang w:val="en-GB"/>
      </w:rPr>
      <w:tab/>
    </w:r>
    <w:sdt>
      <w:sdtPr>
        <w:id w:val="401337572"/>
        <w:docPartObj>
          <w:docPartGallery w:val="Page Numbers (Bottom of Page)"/>
          <w:docPartUnique/>
        </w:docPartObj>
      </w:sdtPr>
      <w:sdtEndPr/>
      <w:sdtContent>
        <w:r>
          <w:tab/>
        </w:r>
        <w:r w:rsidR="004574A8">
          <w:fldChar w:fldCharType="begin"/>
        </w:r>
        <w:r w:rsidR="004574A8" w:rsidRPr="0033170C">
          <w:rPr>
            <w:lang w:val="en-GB"/>
          </w:rPr>
          <w:instrText>PAGE   \* MERGEFORMAT</w:instrText>
        </w:r>
        <w:r w:rsidR="004574A8">
          <w:fldChar w:fldCharType="separate"/>
        </w:r>
        <w:r w:rsidR="00E71C80" w:rsidRPr="0033170C">
          <w:rPr>
            <w:noProof/>
            <w:lang w:val="en-GB"/>
          </w:rPr>
          <w:t>1</w:t>
        </w:r>
        <w:r w:rsidR="004574A8">
          <w:fldChar w:fldCharType="end"/>
        </w:r>
      </w:sdtContent>
    </w:sdt>
  </w:p>
  <w:p w14:paraId="37386D3D" w14:textId="77777777" w:rsidR="004574A8" w:rsidRPr="0033170C" w:rsidRDefault="004574A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0379" w14:textId="77777777" w:rsidR="007E0133" w:rsidRDefault="007E0133" w:rsidP="004428B4">
      <w:pPr>
        <w:spacing w:after="0" w:line="240" w:lineRule="auto"/>
      </w:pPr>
      <w:r>
        <w:separator/>
      </w:r>
    </w:p>
  </w:footnote>
  <w:footnote w:type="continuationSeparator" w:id="0">
    <w:p w14:paraId="435A5BA5" w14:textId="77777777" w:rsidR="007E0133" w:rsidRDefault="007E0133" w:rsidP="0044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AFF9" w14:textId="77777777" w:rsidR="004574A8" w:rsidRPr="00426B59" w:rsidRDefault="004574A8">
    <w:pPr>
      <w:pStyle w:val="Header"/>
      <w:rPr>
        <w:b/>
        <w:color w:val="00B050"/>
        <w:sz w:val="52"/>
        <w:szCs w:val="52"/>
      </w:rPr>
    </w:pPr>
    <w:r w:rsidRPr="00B87F33">
      <w:rPr>
        <w:b/>
        <w:noProof/>
        <w:color w:val="0070C0"/>
        <w:sz w:val="32"/>
        <w:szCs w:val="32"/>
      </w:rPr>
      <w:drawing>
        <wp:anchor distT="0" distB="0" distL="114300" distR="114300" simplePos="0" relativeHeight="251659264" behindDoc="0" locked="0" layoutInCell="1" allowOverlap="1" wp14:anchorId="11BC893A" wp14:editId="08E929C6">
          <wp:simplePos x="0" y="0"/>
          <wp:positionH relativeFrom="column">
            <wp:posOffset>14605</wp:posOffset>
          </wp:positionH>
          <wp:positionV relativeFrom="paragraph">
            <wp:posOffset>80010</wp:posOffset>
          </wp:positionV>
          <wp:extent cx="2395220" cy="523875"/>
          <wp:effectExtent l="0" t="0" r="5080" b="9525"/>
          <wp:wrapNone/>
          <wp:docPr id="10" name="Afbeelding 0" descr="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blu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2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B050"/>
        <w:sz w:val="52"/>
        <w:szCs w:val="52"/>
      </w:rPr>
      <w:tab/>
    </w:r>
    <w:r>
      <w:rPr>
        <w:b/>
        <w:color w:val="00B050"/>
        <w:sz w:val="52"/>
        <w:szCs w:val="52"/>
      </w:rPr>
      <w:tab/>
    </w:r>
  </w:p>
  <w:p w14:paraId="5DF1C769" w14:textId="77777777" w:rsidR="004574A8" w:rsidRDefault="004574A8">
    <w:pPr>
      <w:pStyle w:val="Header"/>
    </w:pPr>
    <w:r>
      <w:rPr>
        <w:b/>
        <w:color w:val="0070C0"/>
        <w:sz w:val="32"/>
        <w:szCs w:val="32"/>
      </w:rPr>
      <w:tab/>
    </w:r>
    <w:r>
      <w:rPr>
        <w:b/>
        <w:color w:val="0070C0"/>
        <w:sz w:val="32"/>
        <w:szCs w:val="3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DA8"/>
    <w:multiLevelType w:val="hybridMultilevel"/>
    <w:tmpl w:val="BA18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FDA"/>
    <w:multiLevelType w:val="hybridMultilevel"/>
    <w:tmpl w:val="055E27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409F"/>
    <w:multiLevelType w:val="multilevel"/>
    <w:tmpl w:val="9A6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74E5E"/>
    <w:multiLevelType w:val="multilevel"/>
    <w:tmpl w:val="6FA2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47F3"/>
    <w:multiLevelType w:val="multilevel"/>
    <w:tmpl w:val="10C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2E7"/>
    <w:multiLevelType w:val="hybridMultilevel"/>
    <w:tmpl w:val="26145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4E33"/>
    <w:multiLevelType w:val="multilevel"/>
    <w:tmpl w:val="499E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A24E56"/>
    <w:multiLevelType w:val="hybridMultilevel"/>
    <w:tmpl w:val="BE403B28"/>
    <w:lvl w:ilvl="0" w:tplc="74DCA7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513"/>
    <w:multiLevelType w:val="hybridMultilevel"/>
    <w:tmpl w:val="EEB2D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22D7"/>
    <w:multiLevelType w:val="hybridMultilevel"/>
    <w:tmpl w:val="A474914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388B"/>
    <w:multiLevelType w:val="multilevel"/>
    <w:tmpl w:val="F0C6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907B1"/>
    <w:multiLevelType w:val="multilevel"/>
    <w:tmpl w:val="7E14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C6E68C8"/>
    <w:multiLevelType w:val="hybridMultilevel"/>
    <w:tmpl w:val="0D9801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F7650"/>
    <w:multiLevelType w:val="multilevel"/>
    <w:tmpl w:val="1A220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1B209C"/>
    <w:multiLevelType w:val="hybridMultilevel"/>
    <w:tmpl w:val="4E6CE57A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9D6696"/>
    <w:multiLevelType w:val="hybridMultilevel"/>
    <w:tmpl w:val="85A0F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F6D7B"/>
    <w:multiLevelType w:val="hybridMultilevel"/>
    <w:tmpl w:val="646CE6A8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1B2BEA"/>
    <w:multiLevelType w:val="multilevel"/>
    <w:tmpl w:val="61BCE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46390F"/>
    <w:multiLevelType w:val="hybridMultilevel"/>
    <w:tmpl w:val="78CCA3DA"/>
    <w:lvl w:ilvl="0" w:tplc="25906F58">
      <w:start w:val="1"/>
      <w:numFmt w:val="decimal"/>
      <w:pStyle w:val="Heading1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333"/>
    <w:multiLevelType w:val="hybridMultilevel"/>
    <w:tmpl w:val="6518E610"/>
    <w:lvl w:ilvl="0" w:tplc="74DCA70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6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12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BB"/>
    <w:rsid w:val="00000063"/>
    <w:rsid w:val="00003113"/>
    <w:rsid w:val="00007402"/>
    <w:rsid w:val="00011FF2"/>
    <w:rsid w:val="00013A2B"/>
    <w:rsid w:val="00014777"/>
    <w:rsid w:val="00014A88"/>
    <w:rsid w:val="00026431"/>
    <w:rsid w:val="000269D2"/>
    <w:rsid w:val="00034C50"/>
    <w:rsid w:val="00040195"/>
    <w:rsid w:val="00046713"/>
    <w:rsid w:val="00053393"/>
    <w:rsid w:val="00060DC3"/>
    <w:rsid w:val="00064C22"/>
    <w:rsid w:val="00075A73"/>
    <w:rsid w:val="000765AB"/>
    <w:rsid w:val="00082CD2"/>
    <w:rsid w:val="00091384"/>
    <w:rsid w:val="000940ED"/>
    <w:rsid w:val="00094659"/>
    <w:rsid w:val="000A050D"/>
    <w:rsid w:val="000A095C"/>
    <w:rsid w:val="000A4A77"/>
    <w:rsid w:val="000A4B78"/>
    <w:rsid w:val="000A7690"/>
    <w:rsid w:val="000B27C5"/>
    <w:rsid w:val="000B7C8F"/>
    <w:rsid w:val="000C392D"/>
    <w:rsid w:val="000C6B84"/>
    <w:rsid w:val="000D0573"/>
    <w:rsid w:val="000D11D1"/>
    <w:rsid w:val="000D2829"/>
    <w:rsid w:val="000E35D6"/>
    <w:rsid w:val="000E70FB"/>
    <w:rsid w:val="000E737A"/>
    <w:rsid w:val="000F1B6F"/>
    <w:rsid w:val="000F25E8"/>
    <w:rsid w:val="000F2777"/>
    <w:rsid w:val="000F702F"/>
    <w:rsid w:val="00104744"/>
    <w:rsid w:val="00121B67"/>
    <w:rsid w:val="00124DEC"/>
    <w:rsid w:val="00127F06"/>
    <w:rsid w:val="00131AE7"/>
    <w:rsid w:val="00131F0C"/>
    <w:rsid w:val="00134EE1"/>
    <w:rsid w:val="001357DD"/>
    <w:rsid w:val="00141588"/>
    <w:rsid w:val="00144021"/>
    <w:rsid w:val="0014465F"/>
    <w:rsid w:val="001522D6"/>
    <w:rsid w:val="0016440B"/>
    <w:rsid w:val="00164581"/>
    <w:rsid w:val="001876F0"/>
    <w:rsid w:val="001B5626"/>
    <w:rsid w:val="001B5E22"/>
    <w:rsid w:val="001C24CD"/>
    <w:rsid w:val="001C2DE9"/>
    <w:rsid w:val="001C74FD"/>
    <w:rsid w:val="001D0897"/>
    <w:rsid w:val="001D37EE"/>
    <w:rsid w:val="001D55AA"/>
    <w:rsid w:val="001E3BB2"/>
    <w:rsid w:val="001E4096"/>
    <w:rsid w:val="001E7D4F"/>
    <w:rsid w:val="001F476D"/>
    <w:rsid w:val="001F50A2"/>
    <w:rsid w:val="001F6CC6"/>
    <w:rsid w:val="001F73AE"/>
    <w:rsid w:val="001F7B4D"/>
    <w:rsid w:val="00203921"/>
    <w:rsid w:val="00206B15"/>
    <w:rsid w:val="0022086F"/>
    <w:rsid w:val="0022157A"/>
    <w:rsid w:val="00222314"/>
    <w:rsid w:val="002273AC"/>
    <w:rsid w:val="00227E9C"/>
    <w:rsid w:val="00231543"/>
    <w:rsid w:val="002323DC"/>
    <w:rsid w:val="00232B45"/>
    <w:rsid w:val="002710C7"/>
    <w:rsid w:val="0027587E"/>
    <w:rsid w:val="00277CE0"/>
    <w:rsid w:val="00285492"/>
    <w:rsid w:val="0028562F"/>
    <w:rsid w:val="002876F6"/>
    <w:rsid w:val="00290F60"/>
    <w:rsid w:val="00295EF9"/>
    <w:rsid w:val="002A046E"/>
    <w:rsid w:val="002A5CAF"/>
    <w:rsid w:val="002B3D6A"/>
    <w:rsid w:val="002B48F2"/>
    <w:rsid w:val="002B770F"/>
    <w:rsid w:val="002C5556"/>
    <w:rsid w:val="002D079D"/>
    <w:rsid w:val="002D40BF"/>
    <w:rsid w:val="002D6883"/>
    <w:rsid w:val="002E233E"/>
    <w:rsid w:val="002E4CF4"/>
    <w:rsid w:val="002E7ABE"/>
    <w:rsid w:val="002E7B0C"/>
    <w:rsid w:val="002F3964"/>
    <w:rsid w:val="002F46CE"/>
    <w:rsid w:val="002F56EB"/>
    <w:rsid w:val="003065AF"/>
    <w:rsid w:val="003138F0"/>
    <w:rsid w:val="00321C31"/>
    <w:rsid w:val="0032228E"/>
    <w:rsid w:val="00322D88"/>
    <w:rsid w:val="00326912"/>
    <w:rsid w:val="0033170C"/>
    <w:rsid w:val="00332D5F"/>
    <w:rsid w:val="00336144"/>
    <w:rsid w:val="00336242"/>
    <w:rsid w:val="003457D7"/>
    <w:rsid w:val="003537C7"/>
    <w:rsid w:val="00356A44"/>
    <w:rsid w:val="0035788C"/>
    <w:rsid w:val="003624D1"/>
    <w:rsid w:val="00376FAE"/>
    <w:rsid w:val="00382C0D"/>
    <w:rsid w:val="0038341D"/>
    <w:rsid w:val="003902FB"/>
    <w:rsid w:val="003A64C3"/>
    <w:rsid w:val="003B5C9F"/>
    <w:rsid w:val="003C1676"/>
    <w:rsid w:val="003D040C"/>
    <w:rsid w:val="003F5530"/>
    <w:rsid w:val="004002F2"/>
    <w:rsid w:val="00404D2E"/>
    <w:rsid w:val="004072FC"/>
    <w:rsid w:val="004147BB"/>
    <w:rsid w:val="00415664"/>
    <w:rsid w:val="004204C2"/>
    <w:rsid w:val="00420741"/>
    <w:rsid w:val="004233F6"/>
    <w:rsid w:val="00426B59"/>
    <w:rsid w:val="004330EF"/>
    <w:rsid w:val="004365DB"/>
    <w:rsid w:val="0043705C"/>
    <w:rsid w:val="004428B4"/>
    <w:rsid w:val="0044697E"/>
    <w:rsid w:val="00447EC6"/>
    <w:rsid w:val="00451B06"/>
    <w:rsid w:val="00453D3A"/>
    <w:rsid w:val="00456099"/>
    <w:rsid w:val="004574A8"/>
    <w:rsid w:val="004610DF"/>
    <w:rsid w:val="00465D25"/>
    <w:rsid w:val="0046759B"/>
    <w:rsid w:val="00470CFA"/>
    <w:rsid w:val="00476FF6"/>
    <w:rsid w:val="004811FA"/>
    <w:rsid w:val="004813D5"/>
    <w:rsid w:val="0048305B"/>
    <w:rsid w:val="00483E8F"/>
    <w:rsid w:val="004865F7"/>
    <w:rsid w:val="00491C71"/>
    <w:rsid w:val="004924AE"/>
    <w:rsid w:val="00493F03"/>
    <w:rsid w:val="004A4116"/>
    <w:rsid w:val="004A76F8"/>
    <w:rsid w:val="004B1D1A"/>
    <w:rsid w:val="004B2B57"/>
    <w:rsid w:val="004B359A"/>
    <w:rsid w:val="004B4AB3"/>
    <w:rsid w:val="004B77E2"/>
    <w:rsid w:val="004C6131"/>
    <w:rsid w:val="004E0764"/>
    <w:rsid w:val="004E7B8A"/>
    <w:rsid w:val="004F1796"/>
    <w:rsid w:val="004F2F43"/>
    <w:rsid w:val="004F45BC"/>
    <w:rsid w:val="004F67D5"/>
    <w:rsid w:val="00501D2C"/>
    <w:rsid w:val="00503512"/>
    <w:rsid w:val="00504AC5"/>
    <w:rsid w:val="00506E94"/>
    <w:rsid w:val="00510182"/>
    <w:rsid w:val="00511437"/>
    <w:rsid w:val="005265C3"/>
    <w:rsid w:val="0053088D"/>
    <w:rsid w:val="0053209A"/>
    <w:rsid w:val="005449DC"/>
    <w:rsid w:val="00547360"/>
    <w:rsid w:val="00547EE8"/>
    <w:rsid w:val="00562806"/>
    <w:rsid w:val="00562817"/>
    <w:rsid w:val="00570AAC"/>
    <w:rsid w:val="00571722"/>
    <w:rsid w:val="00573BAE"/>
    <w:rsid w:val="005775F8"/>
    <w:rsid w:val="00582D0E"/>
    <w:rsid w:val="00583D8D"/>
    <w:rsid w:val="005841E5"/>
    <w:rsid w:val="00590979"/>
    <w:rsid w:val="005A02F3"/>
    <w:rsid w:val="005A3717"/>
    <w:rsid w:val="005A3E93"/>
    <w:rsid w:val="005A4058"/>
    <w:rsid w:val="005A774B"/>
    <w:rsid w:val="005B4EA2"/>
    <w:rsid w:val="005B5EBC"/>
    <w:rsid w:val="005B6809"/>
    <w:rsid w:val="005C286B"/>
    <w:rsid w:val="005C4734"/>
    <w:rsid w:val="005D71B3"/>
    <w:rsid w:val="005E286E"/>
    <w:rsid w:val="005E403C"/>
    <w:rsid w:val="005F6278"/>
    <w:rsid w:val="006061EF"/>
    <w:rsid w:val="00611A8B"/>
    <w:rsid w:val="00612FD5"/>
    <w:rsid w:val="00622DBB"/>
    <w:rsid w:val="00625F2D"/>
    <w:rsid w:val="00625F46"/>
    <w:rsid w:val="0062795A"/>
    <w:rsid w:val="00636722"/>
    <w:rsid w:val="00636D4F"/>
    <w:rsid w:val="00637527"/>
    <w:rsid w:val="00640D20"/>
    <w:rsid w:val="006515BD"/>
    <w:rsid w:val="00654BEC"/>
    <w:rsid w:val="0066154D"/>
    <w:rsid w:val="00664CD2"/>
    <w:rsid w:val="00665C49"/>
    <w:rsid w:val="006725BE"/>
    <w:rsid w:val="0067431A"/>
    <w:rsid w:val="00675096"/>
    <w:rsid w:val="00676E53"/>
    <w:rsid w:val="00677BC1"/>
    <w:rsid w:val="00683016"/>
    <w:rsid w:val="00684C05"/>
    <w:rsid w:val="00690036"/>
    <w:rsid w:val="0069144A"/>
    <w:rsid w:val="006949FE"/>
    <w:rsid w:val="00697561"/>
    <w:rsid w:val="006A1B3F"/>
    <w:rsid w:val="006A4A6D"/>
    <w:rsid w:val="006A5270"/>
    <w:rsid w:val="006A7032"/>
    <w:rsid w:val="006B0E9F"/>
    <w:rsid w:val="006B10A8"/>
    <w:rsid w:val="006B4881"/>
    <w:rsid w:val="006B7335"/>
    <w:rsid w:val="006C2DF1"/>
    <w:rsid w:val="006D0B29"/>
    <w:rsid w:val="006D180F"/>
    <w:rsid w:val="006D2272"/>
    <w:rsid w:val="006D4892"/>
    <w:rsid w:val="006D598B"/>
    <w:rsid w:val="006E0B88"/>
    <w:rsid w:val="006E18BF"/>
    <w:rsid w:val="006F57A2"/>
    <w:rsid w:val="0070323D"/>
    <w:rsid w:val="007036B3"/>
    <w:rsid w:val="00704920"/>
    <w:rsid w:val="00716CCE"/>
    <w:rsid w:val="0074138F"/>
    <w:rsid w:val="00741BEB"/>
    <w:rsid w:val="007433D6"/>
    <w:rsid w:val="00744126"/>
    <w:rsid w:val="00750D47"/>
    <w:rsid w:val="0075699E"/>
    <w:rsid w:val="00761317"/>
    <w:rsid w:val="0076313B"/>
    <w:rsid w:val="007637AE"/>
    <w:rsid w:val="007644DE"/>
    <w:rsid w:val="007746B2"/>
    <w:rsid w:val="00774B60"/>
    <w:rsid w:val="007766B5"/>
    <w:rsid w:val="007812AD"/>
    <w:rsid w:val="007813A7"/>
    <w:rsid w:val="00782C44"/>
    <w:rsid w:val="00784FD5"/>
    <w:rsid w:val="007A1428"/>
    <w:rsid w:val="007A5878"/>
    <w:rsid w:val="007A666B"/>
    <w:rsid w:val="007B4340"/>
    <w:rsid w:val="007B588F"/>
    <w:rsid w:val="007B692A"/>
    <w:rsid w:val="007C1643"/>
    <w:rsid w:val="007C3474"/>
    <w:rsid w:val="007C4E2D"/>
    <w:rsid w:val="007E0133"/>
    <w:rsid w:val="007E13E1"/>
    <w:rsid w:val="007F2CED"/>
    <w:rsid w:val="00800CF1"/>
    <w:rsid w:val="00801FC9"/>
    <w:rsid w:val="0080309E"/>
    <w:rsid w:val="0080336C"/>
    <w:rsid w:val="00807AC9"/>
    <w:rsid w:val="008115B9"/>
    <w:rsid w:val="008161FA"/>
    <w:rsid w:val="008169E2"/>
    <w:rsid w:val="00820825"/>
    <w:rsid w:val="00820937"/>
    <w:rsid w:val="00824DD8"/>
    <w:rsid w:val="00827E72"/>
    <w:rsid w:val="00834E64"/>
    <w:rsid w:val="00836E1E"/>
    <w:rsid w:val="00841BC9"/>
    <w:rsid w:val="00843639"/>
    <w:rsid w:val="0084683E"/>
    <w:rsid w:val="00857221"/>
    <w:rsid w:val="00872521"/>
    <w:rsid w:val="00877BAA"/>
    <w:rsid w:val="0088586C"/>
    <w:rsid w:val="00892A00"/>
    <w:rsid w:val="008A7FCB"/>
    <w:rsid w:val="008B4228"/>
    <w:rsid w:val="008B49D0"/>
    <w:rsid w:val="008B5E20"/>
    <w:rsid w:val="008C2707"/>
    <w:rsid w:val="008D5392"/>
    <w:rsid w:val="008E28F9"/>
    <w:rsid w:val="008E2D49"/>
    <w:rsid w:val="008F0170"/>
    <w:rsid w:val="008F2242"/>
    <w:rsid w:val="008F226C"/>
    <w:rsid w:val="008F6587"/>
    <w:rsid w:val="00900DD8"/>
    <w:rsid w:val="00901C41"/>
    <w:rsid w:val="00905670"/>
    <w:rsid w:val="00921CCE"/>
    <w:rsid w:val="009436B0"/>
    <w:rsid w:val="00943B13"/>
    <w:rsid w:val="00944476"/>
    <w:rsid w:val="00946545"/>
    <w:rsid w:val="00952F6B"/>
    <w:rsid w:val="009538C5"/>
    <w:rsid w:val="00971E68"/>
    <w:rsid w:val="009750FB"/>
    <w:rsid w:val="00981D72"/>
    <w:rsid w:val="00984E1B"/>
    <w:rsid w:val="009871DC"/>
    <w:rsid w:val="0099256E"/>
    <w:rsid w:val="009B526A"/>
    <w:rsid w:val="009C31F3"/>
    <w:rsid w:val="009C426F"/>
    <w:rsid w:val="009C66E2"/>
    <w:rsid w:val="009D5748"/>
    <w:rsid w:val="009E01AB"/>
    <w:rsid w:val="009E265E"/>
    <w:rsid w:val="009E32D0"/>
    <w:rsid w:val="009F3AC8"/>
    <w:rsid w:val="009F66B5"/>
    <w:rsid w:val="00A1372D"/>
    <w:rsid w:val="00A1497A"/>
    <w:rsid w:val="00A161A3"/>
    <w:rsid w:val="00A20FB3"/>
    <w:rsid w:val="00A21BC8"/>
    <w:rsid w:val="00A24907"/>
    <w:rsid w:val="00A26F16"/>
    <w:rsid w:val="00A3055D"/>
    <w:rsid w:val="00A31037"/>
    <w:rsid w:val="00A31BAB"/>
    <w:rsid w:val="00A37F66"/>
    <w:rsid w:val="00A40B90"/>
    <w:rsid w:val="00A41451"/>
    <w:rsid w:val="00A41E7B"/>
    <w:rsid w:val="00A45C95"/>
    <w:rsid w:val="00A47E8B"/>
    <w:rsid w:val="00A5164B"/>
    <w:rsid w:val="00A658AD"/>
    <w:rsid w:val="00A7565A"/>
    <w:rsid w:val="00A7612F"/>
    <w:rsid w:val="00A80663"/>
    <w:rsid w:val="00A82647"/>
    <w:rsid w:val="00A83AE0"/>
    <w:rsid w:val="00A85171"/>
    <w:rsid w:val="00A86469"/>
    <w:rsid w:val="00AA197A"/>
    <w:rsid w:val="00AA6828"/>
    <w:rsid w:val="00AB0DA4"/>
    <w:rsid w:val="00AB463C"/>
    <w:rsid w:val="00AB7DAE"/>
    <w:rsid w:val="00AC4995"/>
    <w:rsid w:val="00AD1F8F"/>
    <w:rsid w:val="00AD2897"/>
    <w:rsid w:val="00AD496B"/>
    <w:rsid w:val="00AE195E"/>
    <w:rsid w:val="00AE1A6D"/>
    <w:rsid w:val="00AE3740"/>
    <w:rsid w:val="00AF07FE"/>
    <w:rsid w:val="00AF3E22"/>
    <w:rsid w:val="00AF68FE"/>
    <w:rsid w:val="00AF725E"/>
    <w:rsid w:val="00B00A13"/>
    <w:rsid w:val="00B040C8"/>
    <w:rsid w:val="00B1090A"/>
    <w:rsid w:val="00B1466B"/>
    <w:rsid w:val="00B17622"/>
    <w:rsid w:val="00B248B4"/>
    <w:rsid w:val="00B2653B"/>
    <w:rsid w:val="00B32E56"/>
    <w:rsid w:val="00B340FB"/>
    <w:rsid w:val="00B444FC"/>
    <w:rsid w:val="00B46CFC"/>
    <w:rsid w:val="00B4713A"/>
    <w:rsid w:val="00B530C9"/>
    <w:rsid w:val="00B5410A"/>
    <w:rsid w:val="00B54954"/>
    <w:rsid w:val="00B54B31"/>
    <w:rsid w:val="00B5762C"/>
    <w:rsid w:val="00B6243D"/>
    <w:rsid w:val="00B703DE"/>
    <w:rsid w:val="00B7322F"/>
    <w:rsid w:val="00B801D7"/>
    <w:rsid w:val="00B81DF5"/>
    <w:rsid w:val="00B83422"/>
    <w:rsid w:val="00B87C1D"/>
    <w:rsid w:val="00B91437"/>
    <w:rsid w:val="00B93283"/>
    <w:rsid w:val="00B94594"/>
    <w:rsid w:val="00BA5BE4"/>
    <w:rsid w:val="00BB2A52"/>
    <w:rsid w:val="00BD0AB5"/>
    <w:rsid w:val="00BD3E01"/>
    <w:rsid w:val="00BE18DC"/>
    <w:rsid w:val="00BF2D18"/>
    <w:rsid w:val="00BF2F4A"/>
    <w:rsid w:val="00BF3309"/>
    <w:rsid w:val="00BF476E"/>
    <w:rsid w:val="00BF4DCE"/>
    <w:rsid w:val="00BF7FE1"/>
    <w:rsid w:val="00C0044E"/>
    <w:rsid w:val="00C155F7"/>
    <w:rsid w:val="00C1724D"/>
    <w:rsid w:val="00C21313"/>
    <w:rsid w:val="00C22819"/>
    <w:rsid w:val="00C23B67"/>
    <w:rsid w:val="00C24F89"/>
    <w:rsid w:val="00C2746D"/>
    <w:rsid w:val="00C31943"/>
    <w:rsid w:val="00C40FA6"/>
    <w:rsid w:val="00C427F9"/>
    <w:rsid w:val="00C42A61"/>
    <w:rsid w:val="00C44C06"/>
    <w:rsid w:val="00C45F76"/>
    <w:rsid w:val="00C46A64"/>
    <w:rsid w:val="00C5614A"/>
    <w:rsid w:val="00C6693B"/>
    <w:rsid w:val="00C67D2B"/>
    <w:rsid w:val="00C826E8"/>
    <w:rsid w:val="00C874E9"/>
    <w:rsid w:val="00C9265D"/>
    <w:rsid w:val="00C96617"/>
    <w:rsid w:val="00C97B1B"/>
    <w:rsid w:val="00CA225F"/>
    <w:rsid w:val="00CA32C7"/>
    <w:rsid w:val="00CA32F3"/>
    <w:rsid w:val="00CA431B"/>
    <w:rsid w:val="00CA77D9"/>
    <w:rsid w:val="00CB25E0"/>
    <w:rsid w:val="00CB39F5"/>
    <w:rsid w:val="00CB3D86"/>
    <w:rsid w:val="00CB449D"/>
    <w:rsid w:val="00CB7F9C"/>
    <w:rsid w:val="00CC19FA"/>
    <w:rsid w:val="00CE1F2A"/>
    <w:rsid w:val="00CE3F22"/>
    <w:rsid w:val="00CE5230"/>
    <w:rsid w:val="00CE7133"/>
    <w:rsid w:val="00CF3A66"/>
    <w:rsid w:val="00CF4488"/>
    <w:rsid w:val="00CF5C48"/>
    <w:rsid w:val="00D1225A"/>
    <w:rsid w:val="00D15D3B"/>
    <w:rsid w:val="00D16908"/>
    <w:rsid w:val="00D35360"/>
    <w:rsid w:val="00D36F69"/>
    <w:rsid w:val="00D410FF"/>
    <w:rsid w:val="00D45392"/>
    <w:rsid w:val="00D53B42"/>
    <w:rsid w:val="00D579A1"/>
    <w:rsid w:val="00D57C33"/>
    <w:rsid w:val="00D648B3"/>
    <w:rsid w:val="00D70D2D"/>
    <w:rsid w:val="00D72811"/>
    <w:rsid w:val="00D72B06"/>
    <w:rsid w:val="00D73548"/>
    <w:rsid w:val="00D73F0B"/>
    <w:rsid w:val="00D767B4"/>
    <w:rsid w:val="00D80CA0"/>
    <w:rsid w:val="00D92DC5"/>
    <w:rsid w:val="00D955D5"/>
    <w:rsid w:val="00DA53B5"/>
    <w:rsid w:val="00DB1AC2"/>
    <w:rsid w:val="00DD0D4C"/>
    <w:rsid w:val="00DD3926"/>
    <w:rsid w:val="00DD5399"/>
    <w:rsid w:val="00DE3B3E"/>
    <w:rsid w:val="00DE5719"/>
    <w:rsid w:val="00DE5F3D"/>
    <w:rsid w:val="00DF4D53"/>
    <w:rsid w:val="00DF60A0"/>
    <w:rsid w:val="00DF6CAF"/>
    <w:rsid w:val="00E04773"/>
    <w:rsid w:val="00E05CD1"/>
    <w:rsid w:val="00E10BF1"/>
    <w:rsid w:val="00E14F53"/>
    <w:rsid w:val="00E161AA"/>
    <w:rsid w:val="00E16DE2"/>
    <w:rsid w:val="00E20430"/>
    <w:rsid w:val="00E220EF"/>
    <w:rsid w:val="00E25394"/>
    <w:rsid w:val="00E336AB"/>
    <w:rsid w:val="00E33972"/>
    <w:rsid w:val="00E33A2D"/>
    <w:rsid w:val="00E41AEE"/>
    <w:rsid w:val="00E42F5D"/>
    <w:rsid w:val="00E5298A"/>
    <w:rsid w:val="00E52A95"/>
    <w:rsid w:val="00E54450"/>
    <w:rsid w:val="00E565FB"/>
    <w:rsid w:val="00E60554"/>
    <w:rsid w:val="00E60B89"/>
    <w:rsid w:val="00E71C80"/>
    <w:rsid w:val="00E762DF"/>
    <w:rsid w:val="00E77857"/>
    <w:rsid w:val="00E85C33"/>
    <w:rsid w:val="00E86EAE"/>
    <w:rsid w:val="00E923AF"/>
    <w:rsid w:val="00E97E42"/>
    <w:rsid w:val="00EA426C"/>
    <w:rsid w:val="00EA4337"/>
    <w:rsid w:val="00EA6C7D"/>
    <w:rsid w:val="00EB601C"/>
    <w:rsid w:val="00EC08CC"/>
    <w:rsid w:val="00EC66DB"/>
    <w:rsid w:val="00ED0FDF"/>
    <w:rsid w:val="00ED5C24"/>
    <w:rsid w:val="00ED6817"/>
    <w:rsid w:val="00EF048B"/>
    <w:rsid w:val="00EF328A"/>
    <w:rsid w:val="00EF62A8"/>
    <w:rsid w:val="00EF7101"/>
    <w:rsid w:val="00F01149"/>
    <w:rsid w:val="00F1540D"/>
    <w:rsid w:val="00F1739D"/>
    <w:rsid w:val="00F179C7"/>
    <w:rsid w:val="00F20C97"/>
    <w:rsid w:val="00F20F4D"/>
    <w:rsid w:val="00F25B7F"/>
    <w:rsid w:val="00F264F0"/>
    <w:rsid w:val="00F306FE"/>
    <w:rsid w:val="00F30E54"/>
    <w:rsid w:val="00F313BD"/>
    <w:rsid w:val="00F32D77"/>
    <w:rsid w:val="00F34BE5"/>
    <w:rsid w:val="00F34BE6"/>
    <w:rsid w:val="00F35B25"/>
    <w:rsid w:val="00F44B4C"/>
    <w:rsid w:val="00F57740"/>
    <w:rsid w:val="00F65962"/>
    <w:rsid w:val="00F803DA"/>
    <w:rsid w:val="00F83358"/>
    <w:rsid w:val="00F8474B"/>
    <w:rsid w:val="00F96302"/>
    <w:rsid w:val="00FA596F"/>
    <w:rsid w:val="00FB45CA"/>
    <w:rsid w:val="00FB6049"/>
    <w:rsid w:val="00FB6B42"/>
    <w:rsid w:val="00FE304B"/>
    <w:rsid w:val="00FF42A9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C577"/>
  <w15:docId w15:val="{4F53C6CF-7AE9-41CE-B4F7-E1B3A59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AE7"/>
    <w:pPr>
      <w:keepNext/>
      <w:keepLines/>
      <w:numPr>
        <w:numId w:val="1"/>
      </w:numPr>
      <w:spacing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B4"/>
  </w:style>
  <w:style w:type="paragraph" w:styleId="Footer">
    <w:name w:val="footer"/>
    <w:basedOn w:val="Normal"/>
    <w:link w:val="FooterChar"/>
    <w:uiPriority w:val="99"/>
    <w:unhideWhenUsed/>
    <w:rsid w:val="0044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B4"/>
  </w:style>
  <w:style w:type="paragraph" w:styleId="BalloonText">
    <w:name w:val="Balloon Text"/>
    <w:basedOn w:val="Normal"/>
    <w:link w:val="BalloonTextChar"/>
    <w:uiPriority w:val="99"/>
    <w:semiHidden/>
    <w:unhideWhenUsed/>
    <w:rsid w:val="0044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F4D"/>
    <w:pPr>
      <w:autoSpaceDE w:val="0"/>
      <w:autoSpaceDN w:val="0"/>
      <w:adjustRightInd w:val="0"/>
      <w:spacing w:after="0" w:line="240" w:lineRule="auto"/>
    </w:pPr>
    <w:rPr>
      <w:rFonts w:ascii="SwiftEF" w:hAnsi="SwiftEF" w:cs="SwiftEF"/>
      <w:color w:val="000000"/>
      <w:sz w:val="24"/>
      <w:szCs w:val="24"/>
    </w:rPr>
  </w:style>
  <w:style w:type="character" w:customStyle="1" w:styleId="A5">
    <w:name w:val="A5"/>
    <w:uiPriority w:val="99"/>
    <w:rsid w:val="00F20F4D"/>
    <w:rPr>
      <w:rFonts w:cs="SwiftEF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2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7BB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7BB"/>
    <w:rPr>
      <w:rFonts w:ascii="Calibri" w:eastAsiaTheme="minorHAnsi" w:hAnsi="Calibri" w:cs="Consolas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1AE7"/>
    <w:rPr>
      <w:rFonts w:ascii="Calibri" w:eastAsiaTheme="majorEastAsia" w:hAnsi="Calibri" w:cstheme="majorBidi"/>
      <w:b/>
      <w:bCs/>
      <w:szCs w:val="28"/>
    </w:rPr>
  </w:style>
  <w:style w:type="paragraph" w:customStyle="1" w:styleId="Pa4">
    <w:name w:val="Pa4"/>
    <w:basedOn w:val="Default"/>
    <w:next w:val="Default"/>
    <w:uiPriority w:val="99"/>
    <w:rsid w:val="000A4A77"/>
    <w:pPr>
      <w:spacing w:line="181" w:lineRule="atLeast"/>
    </w:pPr>
    <w:rPr>
      <w:rFonts w:ascii="Gotham Book" w:hAnsi="Gotham Book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C2DE9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4">
    <w:name w:val="A4"/>
    <w:uiPriority w:val="99"/>
    <w:rsid w:val="001C2DE9"/>
    <w:rPr>
      <w:rFonts w:cs="Gotham Book"/>
      <w:color w:val="000000"/>
      <w:sz w:val="20"/>
      <w:szCs w:val="20"/>
    </w:rPr>
  </w:style>
  <w:style w:type="paragraph" w:customStyle="1" w:styleId="Pa23">
    <w:name w:val="Pa23"/>
    <w:basedOn w:val="Default"/>
    <w:next w:val="Default"/>
    <w:uiPriority w:val="99"/>
    <w:rsid w:val="001C2DE9"/>
    <w:pPr>
      <w:spacing w:line="181" w:lineRule="atLeast"/>
    </w:pPr>
    <w:rPr>
      <w:rFonts w:ascii="Gotham Book" w:hAnsi="Gotham Book" w:cstheme="minorBidi"/>
      <w:color w:val="auto"/>
    </w:rPr>
  </w:style>
  <w:style w:type="character" w:customStyle="1" w:styleId="A10">
    <w:name w:val="A10"/>
    <w:uiPriority w:val="99"/>
    <w:rsid w:val="001C2DE9"/>
    <w:rPr>
      <w:rFonts w:ascii="Gotham Bold" w:hAnsi="Gotham Bold" w:cs="Gotham Bold"/>
      <w:color w:val="000000"/>
      <w:sz w:val="16"/>
      <w:szCs w:val="16"/>
    </w:rPr>
  </w:style>
  <w:style w:type="character" w:customStyle="1" w:styleId="A6">
    <w:name w:val="A6"/>
    <w:uiPriority w:val="99"/>
    <w:rsid w:val="001C2DE9"/>
    <w:rPr>
      <w:rFonts w:cs="Gotham Book"/>
      <w:color w:val="000000"/>
      <w:sz w:val="18"/>
      <w:szCs w:val="18"/>
    </w:rPr>
  </w:style>
  <w:style w:type="paragraph" w:customStyle="1" w:styleId="Pa67">
    <w:name w:val="Pa67"/>
    <w:basedOn w:val="Default"/>
    <w:next w:val="Default"/>
    <w:uiPriority w:val="99"/>
    <w:rsid w:val="001C2DE9"/>
    <w:pPr>
      <w:spacing w:line="241" w:lineRule="atLeast"/>
    </w:pPr>
    <w:rPr>
      <w:rFonts w:ascii="Gotham Book" w:hAnsi="Gotham Book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A149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F66B5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F66B5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84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26B5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MediumShading2-Accent1">
    <w:name w:val="Medium Shading 2 Accent 1"/>
    <w:basedOn w:val="TableNormal"/>
    <w:uiPriority w:val="64"/>
    <w:rsid w:val="00426B59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F3A6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3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882A-26C3-4CAE-8B65-5344F2C7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IDH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Wall</dc:creator>
  <cp:lastModifiedBy>Aldert Holwerda</cp:lastModifiedBy>
  <cp:revision>13</cp:revision>
  <cp:lastPrinted>2016-12-19T15:23:00Z</cp:lastPrinted>
  <dcterms:created xsi:type="dcterms:W3CDTF">2019-05-17T13:56:00Z</dcterms:created>
  <dcterms:modified xsi:type="dcterms:W3CDTF">2019-05-22T07:39:00Z</dcterms:modified>
</cp:coreProperties>
</file>