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77E1E" w14:textId="77777777" w:rsidR="00BB2517" w:rsidRPr="002502D5" w:rsidRDefault="00BB2517" w:rsidP="00BB2517">
      <w:pPr>
        <w:jc w:val="center"/>
        <w:rPr>
          <w:b/>
          <w:sz w:val="28"/>
          <w:szCs w:val="32"/>
          <w:lang w:val="en-GB"/>
        </w:rPr>
      </w:pPr>
      <w:r w:rsidRPr="002502D5">
        <w:rPr>
          <w:b/>
          <w:sz w:val="28"/>
          <w:szCs w:val="32"/>
          <w:lang w:val="en-GB"/>
        </w:rPr>
        <w:t>Terms of Reference</w:t>
      </w:r>
    </w:p>
    <w:p w14:paraId="0F9DF59B" w14:textId="77777777" w:rsidR="00BB2517" w:rsidRPr="002502D5" w:rsidRDefault="00BB2517" w:rsidP="00BB2517">
      <w:pPr>
        <w:jc w:val="center"/>
        <w:rPr>
          <w:b/>
          <w:sz w:val="28"/>
          <w:szCs w:val="32"/>
          <w:lang w:val="en-GB"/>
        </w:rPr>
      </w:pPr>
      <w:r w:rsidRPr="002502D5">
        <w:rPr>
          <w:b/>
          <w:sz w:val="28"/>
          <w:szCs w:val="32"/>
          <w:lang w:val="en-GB"/>
        </w:rPr>
        <w:t>IDH Sustainable Trade Initiative</w:t>
      </w:r>
    </w:p>
    <w:p w14:paraId="77D450B4" w14:textId="23041EEF" w:rsidR="0003147F" w:rsidRPr="002502D5" w:rsidRDefault="00FC32D8" w:rsidP="75780697">
      <w:pPr>
        <w:jc w:val="center"/>
        <w:rPr>
          <w:b/>
          <w:bCs/>
          <w:sz w:val="28"/>
          <w:szCs w:val="28"/>
          <w:lang w:val="en-GB"/>
        </w:rPr>
      </w:pPr>
      <w:r>
        <w:rPr>
          <w:b/>
          <w:bCs/>
          <w:sz w:val="28"/>
          <w:szCs w:val="28"/>
          <w:lang w:val="en-GB"/>
        </w:rPr>
        <w:t>D</w:t>
      </w:r>
      <w:r w:rsidRPr="75780697">
        <w:rPr>
          <w:b/>
          <w:bCs/>
          <w:sz w:val="28"/>
          <w:szCs w:val="28"/>
          <w:lang w:val="en-GB"/>
        </w:rPr>
        <w:t xml:space="preserve">evelopment of knowledge products </w:t>
      </w:r>
      <w:r>
        <w:rPr>
          <w:b/>
          <w:bCs/>
          <w:sz w:val="28"/>
          <w:szCs w:val="28"/>
          <w:lang w:val="en-GB"/>
        </w:rPr>
        <w:t xml:space="preserve">on selected </w:t>
      </w:r>
      <w:r w:rsidR="00D95AC1" w:rsidRPr="75780697">
        <w:rPr>
          <w:b/>
          <w:bCs/>
          <w:sz w:val="28"/>
          <w:szCs w:val="28"/>
          <w:lang w:val="en-GB"/>
        </w:rPr>
        <w:t>lessons learned</w:t>
      </w:r>
      <w:r w:rsidR="00DF27C8" w:rsidRPr="75780697">
        <w:rPr>
          <w:b/>
          <w:bCs/>
          <w:sz w:val="28"/>
          <w:szCs w:val="28"/>
          <w:lang w:val="en-GB"/>
        </w:rPr>
        <w:t xml:space="preserve"> </w:t>
      </w:r>
      <w:r w:rsidR="00D518C1">
        <w:rPr>
          <w:b/>
          <w:bCs/>
          <w:sz w:val="28"/>
          <w:szCs w:val="28"/>
          <w:lang w:val="en-GB"/>
        </w:rPr>
        <w:t>from</w:t>
      </w:r>
      <w:r w:rsidR="002B6CF7">
        <w:rPr>
          <w:b/>
          <w:bCs/>
          <w:sz w:val="28"/>
          <w:szCs w:val="28"/>
          <w:lang w:val="en-GB"/>
        </w:rPr>
        <w:t xml:space="preserve"> </w:t>
      </w:r>
      <w:r w:rsidR="00C35661">
        <w:rPr>
          <w:b/>
          <w:bCs/>
          <w:sz w:val="28"/>
          <w:szCs w:val="28"/>
          <w:lang w:val="en-GB"/>
        </w:rPr>
        <w:t xml:space="preserve">operating </w:t>
      </w:r>
      <w:r w:rsidR="002B6CF7">
        <w:rPr>
          <w:b/>
          <w:bCs/>
          <w:sz w:val="28"/>
          <w:szCs w:val="28"/>
          <w:lang w:val="en-GB"/>
        </w:rPr>
        <w:t>the L</w:t>
      </w:r>
      <w:r w:rsidR="00D518C1">
        <w:rPr>
          <w:b/>
          <w:bCs/>
          <w:sz w:val="28"/>
          <w:szCs w:val="28"/>
          <w:lang w:val="en-GB"/>
        </w:rPr>
        <w:t xml:space="preserve">and Degradation Neutrality </w:t>
      </w:r>
      <w:r w:rsidR="00DF27C8" w:rsidRPr="75780697">
        <w:rPr>
          <w:b/>
          <w:bCs/>
          <w:sz w:val="28"/>
          <w:szCs w:val="28"/>
          <w:lang w:val="en-GB"/>
        </w:rPr>
        <w:t>T</w:t>
      </w:r>
      <w:r w:rsidR="00C35661">
        <w:rPr>
          <w:b/>
          <w:bCs/>
          <w:sz w:val="28"/>
          <w:szCs w:val="28"/>
          <w:lang w:val="en-GB"/>
        </w:rPr>
        <w:t xml:space="preserve">echnical </w:t>
      </w:r>
      <w:r w:rsidR="00C35661" w:rsidRPr="75780697">
        <w:rPr>
          <w:b/>
          <w:bCs/>
          <w:sz w:val="28"/>
          <w:szCs w:val="28"/>
          <w:lang w:val="en-GB"/>
        </w:rPr>
        <w:t>A</w:t>
      </w:r>
      <w:r w:rsidR="00C35661">
        <w:rPr>
          <w:b/>
          <w:bCs/>
          <w:sz w:val="28"/>
          <w:szCs w:val="28"/>
          <w:lang w:val="en-GB"/>
        </w:rPr>
        <w:t>ssistance</w:t>
      </w:r>
      <w:r w:rsidR="00DF27C8" w:rsidRPr="75780697">
        <w:rPr>
          <w:b/>
          <w:bCs/>
          <w:sz w:val="28"/>
          <w:szCs w:val="28"/>
          <w:lang w:val="en-GB"/>
        </w:rPr>
        <w:t xml:space="preserve"> Facility</w:t>
      </w:r>
      <w:r w:rsidR="7ED69401" w:rsidRPr="75780697">
        <w:rPr>
          <w:b/>
          <w:bCs/>
          <w:sz w:val="28"/>
          <w:szCs w:val="28"/>
          <w:lang w:val="en-GB"/>
        </w:rPr>
        <w:t xml:space="preserve"> </w:t>
      </w:r>
      <w:r w:rsidR="00D518C1">
        <w:rPr>
          <w:b/>
          <w:bCs/>
          <w:sz w:val="28"/>
          <w:szCs w:val="28"/>
          <w:lang w:val="en-GB"/>
        </w:rPr>
        <w:t>(LDN TAF)</w:t>
      </w:r>
      <w:r w:rsidR="00C35661">
        <w:rPr>
          <w:b/>
          <w:bCs/>
          <w:sz w:val="28"/>
          <w:szCs w:val="28"/>
          <w:lang w:val="en-GB"/>
        </w:rPr>
        <w:t xml:space="preserve"> </w:t>
      </w:r>
    </w:p>
    <w:p w14:paraId="652BDB76" w14:textId="77777777" w:rsidR="009959FF" w:rsidRPr="002502D5" w:rsidRDefault="009959FF" w:rsidP="0003147F">
      <w:pPr>
        <w:jc w:val="center"/>
        <w:rPr>
          <w:b/>
          <w:sz w:val="28"/>
          <w:szCs w:val="32"/>
          <w:lang w:val="en-GB"/>
        </w:rPr>
      </w:pPr>
    </w:p>
    <w:p w14:paraId="78AE224B" w14:textId="77777777" w:rsidR="00BB2517" w:rsidRPr="002502D5" w:rsidRDefault="00BB2517" w:rsidP="00FC0A82">
      <w:pPr>
        <w:pStyle w:val="Headingnew"/>
      </w:pPr>
      <w:r w:rsidRPr="002502D5">
        <w:t>Introduction</w:t>
      </w:r>
    </w:p>
    <w:p w14:paraId="6D9A1C08" w14:textId="49D33A1E" w:rsidR="001A62EA" w:rsidRPr="00863221" w:rsidRDefault="001A62EA" w:rsidP="00D518C1">
      <w:pPr>
        <w:jc w:val="both"/>
        <w:rPr>
          <w:sz w:val="22"/>
          <w:szCs w:val="22"/>
          <w:u w:val="single"/>
          <w:lang w:val="en-US"/>
        </w:rPr>
      </w:pPr>
      <w:r w:rsidRPr="00863221">
        <w:rPr>
          <w:sz w:val="22"/>
          <w:szCs w:val="22"/>
          <w:u w:val="single"/>
          <w:lang w:val="en-US"/>
        </w:rPr>
        <w:t>IDH Sustainable Trade Initiative</w:t>
      </w:r>
    </w:p>
    <w:p w14:paraId="4B667DF9" w14:textId="52F1E72D" w:rsidR="00BB2517" w:rsidRDefault="00BB2517" w:rsidP="00863221">
      <w:pPr>
        <w:jc w:val="both"/>
        <w:rPr>
          <w:sz w:val="22"/>
          <w:szCs w:val="22"/>
          <w:lang w:val="en-US"/>
        </w:rPr>
      </w:pPr>
      <w:r w:rsidRPr="75780697">
        <w:rPr>
          <w:sz w:val="22"/>
          <w:szCs w:val="22"/>
          <w:lang w:val="en-US"/>
        </w:rPr>
        <w:t>IDH Sustainable Trade Initiative (“</w:t>
      </w:r>
      <w:hyperlink r:id="rId11" w:history="1">
        <w:r w:rsidRPr="00836964">
          <w:rPr>
            <w:rStyle w:val="Hyperlink"/>
            <w:sz w:val="22"/>
            <w:szCs w:val="22"/>
            <w:lang w:val="en-US"/>
          </w:rPr>
          <w:t>IDH</w:t>
        </w:r>
      </w:hyperlink>
      <w:r w:rsidRPr="75780697">
        <w:rPr>
          <w:sz w:val="22"/>
          <w:szCs w:val="22"/>
          <w:lang w:val="en-US"/>
        </w:rPr>
        <w:t>”)</w:t>
      </w:r>
      <w:r w:rsidR="0078192D" w:rsidRPr="00863221">
        <w:rPr>
          <w:sz w:val="22"/>
          <w:szCs w:val="22"/>
          <w:lang w:val="en-US"/>
        </w:rPr>
        <w:t xml:space="preserve"> </w:t>
      </w:r>
      <w:r w:rsidR="00D518C1" w:rsidRPr="00863221">
        <w:rPr>
          <w:sz w:val="22"/>
          <w:szCs w:val="22"/>
          <w:lang w:val="en-US"/>
        </w:rPr>
        <w:t xml:space="preserve">accelerates and up-scales sustainable trade by building impact-oriented coalitions of front running companies, civil society, governments, knowledge institutions and other stakeholders in several commodity sectors. We convene the interests, </w:t>
      </w:r>
      <w:proofErr w:type="gramStart"/>
      <w:r w:rsidR="00D518C1" w:rsidRPr="00863221">
        <w:rPr>
          <w:sz w:val="22"/>
          <w:szCs w:val="22"/>
          <w:lang w:val="en-US"/>
        </w:rPr>
        <w:t>strengths</w:t>
      </w:r>
      <w:proofErr w:type="gramEnd"/>
      <w:r w:rsidR="00D518C1" w:rsidRPr="00863221">
        <w:rPr>
          <w:sz w:val="22"/>
          <w:szCs w:val="22"/>
          <w:lang w:val="en-US"/>
        </w:rPr>
        <w:t xml:space="preserve"> and knowledge of public and private partners in sustainability commodity programs that aim to mainstream international and domestic commodity markets. We jointly formulate strategic intervention plans with public and private partners, and we co-invest with partners in activities that generate public goods. </w:t>
      </w:r>
    </w:p>
    <w:p w14:paraId="04B51CB0" w14:textId="096BAF41" w:rsidR="6371FEB4" w:rsidRDefault="6371FEB4" w:rsidP="75780697">
      <w:pPr>
        <w:jc w:val="both"/>
        <w:rPr>
          <w:sz w:val="22"/>
          <w:szCs w:val="22"/>
          <w:lang w:val="en-US"/>
        </w:rPr>
      </w:pPr>
      <w:r w:rsidRPr="75780697">
        <w:rPr>
          <w:sz w:val="22"/>
          <w:szCs w:val="22"/>
          <w:lang w:val="en-US"/>
        </w:rPr>
        <w:t xml:space="preserve">At IDH, we apply </w:t>
      </w:r>
      <w:r w:rsidR="002B6CF7">
        <w:rPr>
          <w:sz w:val="22"/>
          <w:szCs w:val="22"/>
          <w:lang w:val="en-US"/>
        </w:rPr>
        <w:t xml:space="preserve">a </w:t>
      </w:r>
      <w:r w:rsidRPr="75780697">
        <w:rPr>
          <w:sz w:val="22"/>
          <w:szCs w:val="22"/>
          <w:lang w:val="en-US"/>
        </w:rPr>
        <w:t>systems</w:t>
      </w:r>
      <w:r w:rsidR="00075FDF">
        <w:rPr>
          <w:sz w:val="22"/>
          <w:szCs w:val="22"/>
          <w:lang w:val="en-US"/>
        </w:rPr>
        <w:t>-</w:t>
      </w:r>
      <w:r w:rsidRPr="75780697">
        <w:rPr>
          <w:sz w:val="22"/>
          <w:szCs w:val="22"/>
          <w:lang w:val="en-US"/>
        </w:rPr>
        <w:t>change approach to our work of putting people, planet, and progress at the heart of trade. Our programs bring together sector actors and seek out the leverage points where small adjustments can catalyze change. This could be a shift in how farmers access services and support, a change in procurement practices, funding for technological solutions and new tools that provide deep insights, or a reprioritization of investments.</w:t>
      </w:r>
      <w:r w:rsidR="00D518C1" w:rsidRPr="00D518C1">
        <w:rPr>
          <w:sz w:val="22"/>
          <w:szCs w:val="22"/>
          <w:lang w:val="en-US"/>
        </w:rPr>
        <w:t xml:space="preserve"> </w:t>
      </w:r>
    </w:p>
    <w:p w14:paraId="18575D1E" w14:textId="77777777" w:rsidR="00FB7A26" w:rsidRPr="002502D5" w:rsidRDefault="00FB7A26" w:rsidP="00FB7A26">
      <w:pPr>
        <w:jc w:val="both"/>
        <w:rPr>
          <w:sz w:val="22"/>
          <w:szCs w:val="22"/>
          <w:u w:val="single"/>
          <w:lang w:val="en-US"/>
        </w:rPr>
      </w:pPr>
      <w:r w:rsidRPr="75780697">
        <w:rPr>
          <w:sz w:val="22"/>
          <w:szCs w:val="22"/>
          <w:u w:val="single"/>
          <w:lang w:val="en-US"/>
        </w:rPr>
        <w:t>IDH Landscape Finance</w:t>
      </w:r>
    </w:p>
    <w:p w14:paraId="6A9BFA2C" w14:textId="17F531D5" w:rsidR="00FB7A26" w:rsidRPr="002502D5" w:rsidRDefault="00FB7A26" w:rsidP="00FB7A26">
      <w:pPr>
        <w:jc w:val="both"/>
        <w:rPr>
          <w:sz w:val="22"/>
          <w:szCs w:val="22"/>
          <w:lang w:val="en-US"/>
        </w:rPr>
      </w:pPr>
      <w:r w:rsidRPr="002502D5">
        <w:rPr>
          <w:sz w:val="22"/>
          <w:szCs w:val="22"/>
          <w:lang w:val="en-US"/>
        </w:rPr>
        <w:t xml:space="preserve">IDH Landscape Finance has been focusing its efforts on closing </w:t>
      </w:r>
      <w:r>
        <w:rPr>
          <w:sz w:val="22"/>
          <w:szCs w:val="22"/>
          <w:lang w:val="en-US"/>
        </w:rPr>
        <w:t>t</w:t>
      </w:r>
      <w:r w:rsidRPr="00D439C7">
        <w:rPr>
          <w:sz w:val="22"/>
          <w:szCs w:val="22"/>
        </w:rPr>
        <w:t xml:space="preserve">he </w:t>
      </w:r>
      <w:r>
        <w:rPr>
          <w:sz w:val="22"/>
          <w:szCs w:val="22"/>
        </w:rPr>
        <w:t>mismatch</w:t>
      </w:r>
      <w:r w:rsidRPr="00D439C7">
        <w:rPr>
          <w:sz w:val="22"/>
          <w:szCs w:val="22"/>
        </w:rPr>
        <w:t xml:space="preserve"> between demand</w:t>
      </w:r>
      <w:r w:rsidRPr="00D439C7">
        <w:rPr>
          <w:sz w:val="22"/>
          <w:szCs w:val="22"/>
          <w:lang w:val="en-US"/>
        </w:rPr>
        <w:t xml:space="preserve"> and supply for investment</w:t>
      </w:r>
      <w:r w:rsidRPr="002502D5">
        <w:rPr>
          <w:sz w:val="22"/>
          <w:szCs w:val="22"/>
          <w:lang w:val="en-US"/>
        </w:rPr>
        <w:t xml:space="preserve"> </w:t>
      </w:r>
      <w:r w:rsidR="001F4138">
        <w:rPr>
          <w:sz w:val="22"/>
          <w:szCs w:val="22"/>
          <w:lang w:val="en-US"/>
        </w:rPr>
        <w:t xml:space="preserve">in sustainable land management </w:t>
      </w:r>
      <w:r w:rsidRPr="002502D5">
        <w:rPr>
          <w:sz w:val="22"/>
          <w:szCs w:val="22"/>
          <w:lang w:val="en-US"/>
        </w:rPr>
        <w:t xml:space="preserve">through our Technical Assistance Facilities linked to, among others, Land Degradation Neutrality (LDN) Fund, &amp;Green Fund and AGRI3 Fund, also known as IDH Partner Funds, and in close collaboration with IDH Farmfit Fund. </w:t>
      </w:r>
    </w:p>
    <w:p w14:paraId="35FB947F" w14:textId="5542CB1C" w:rsidR="00BB2517" w:rsidRDefault="00EE1381" w:rsidP="00FB7A26">
      <w:pPr>
        <w:jc w:val="both"/>
        <w:rPr>
          <w:sz w:val="22"/>
          <w:szCs w:val="22"/>
          <w:lang w:val="en-US"/>
        </w:rPr>
      </w:pPr>
      <w:r>
        <w:rPr>
          <w:sz w:val="22"/>
          <w:szCs w:val="22"/>
          <w:lang w:val="en-US"/>
        </w:rPr>
        <w:t>The team</w:t>
      </w:r>
      <w:r w:rsidR="00FB7A26" w:rsidRPr="41C8B85D">
        <w:rPr>
          <w:sz w:val="22"/>
          <w:szCs w:val="22"/>
          <w:lang w:val="en-US"/>
        </w:rPr>
        <w:t xml:space="preserve"> develop</w:t>
      </w:r>
      <w:r>
        <w:rPr>
          <w:sz w:val="22"/>
          <w:szCs w:val="22"/>
          <w:lang w:val="en-US"/>
        </w:rPr>
        <w:t>s</w:t>
      </w:r>
      <w:r w:rsidR="00FB7A26" w:rsidRPr="41C8B85D">
        <w:rPr>
          <w:sz w:val="22"/>
          <w:szCs w:val="22"/>
          <w:lang w:val="en-US"/>
        </w:rPr>
        <w:t>, design</w:t>
      </w:r>
      <w:r>
        <w:rPr>
          <w:sz w:val="22"/>
          <w:szCs w:val="22"/>
          <w:lang w:val="en-US"/>
        </w:rPr>
        <w:t>s</w:t>
      </w:r>
      <w:r w:rsidR="00FB7A26" w:rsidRPr="41C8B85D">
        <w:rPr>
          <w:sz w:val="22"/>
          <w:szCs w:val="22"/>
          <w:lang w:val="en-US"/>
        </w:rPr>
        <w:t xml:space="preserve"> and (grant</w:t>
      </w:r>
      <w:r>
        <w:rPr>
          <w:sz w:val="22"/>
          <w:szCs w:val="22"/>
          <w:lang w:val="en-US"/>
        </w:rPr>
        <w:t>-</w:t>
      </w:r>
      <w:r w:rsidR="00FB7A26" w:rsidRPr="41C8B85D">
        <w:rPr>
          <w:sz w:val="22"/>
          <w:szCs w:val="22"/>
          <w:lang w:val="en-US"/>
        </w:rPr>
        <w:t>) fund</w:t>
      </w:r>
      <w:r>
        <w:rPr>
          <w:sz w:val="22"/>
          <w:szCs w:val="22"/>
          <w:lang w:val="en-US"/>
        </w:rPr>
        <w:t>s</w:t>
      </w:r>
      <w:r w:rsidR="00FB7A26" w:rsidRPr="41C8B85D">
        <w:rPr>
          <w:sz w:val="22"/>
          <w:szCs w:val="22"/>
          <w:lang w:val="en-US"/>
        </w:rPr>
        <w:t xml:space="preserve"> projects that create the enabling conditions </w:t>
      </w:r>
      <w:r>
        <w:rPr>
          <w:sz w:val="22"/>
          <w:szCs w:val="22"/>
          <w:lang w:val="en-US"/>
        </w:rPr>
        <w:t xml:space="preserve">for investment </w:t>
      </w:r>
      <w:r w:rsidR="00FB7A26" w:rsidRPr="41C8B85D">
        <w:rPr>
          <w:sz w:val="22"/>
          <w:szCs w:val="22"/>
          <w:lang w:val="en-US"/>
        </w:rPr>
        <w:t>and prepare investment projects. Our role is to engage companies on a green</w:t>
      </w:r>
      <w:r w:rsidR="00FB7A26">
        <w:rPr>
          <w:sz w:val="22"/>
          <w:szCs w:val="22"/>
          <w:lang w:val="en-US"/>
        </w:rPr>
        <w:t xml:space="preserve"> and inclusive</w:t>
      </w:r>
      <w:r w:rsidR="00FB7A26" w:rsidRPr="41C8B85D">
        <w:rPr>
          <w:sz w:val="22"/>
          <w:szCs w:val="22"/>
          <w:lang w:val="en-US"/>
        </w:rPr>
        <w:t xml:space="preserve"> (investment) agenda, explore financing needs and impact potential, propose partnerships, reduce risk, close knowledge gaps, build capacity, stimulate companies to be gender transformative and establish dataflows for measuring and growing impact. By doing so, we aim to strengthen the pipeline for investments in IDH’s impact goals.</w:t>
      </w:r>
      <w:r w:rsidR="001A62EA" w:rsidRPr="75780697" w:rsidDel="00FB7A26">
        <w:rPr>
          <w:sz w:val="22"/>
          <w:szCs w:val="22"/>
          <w:lang w:val="en-US"/>
        </w:rPr>
        <w:t xml:space="preserve"> </w:t>
      </w:r>
    </w:p>
    <w:p w14:paraId="1E925B7F" w14:textId="1B12A3E1" w:rsidR="00591EFD" w:rsidRDefault="001A62EA" w:rsidP="00C47869">
      <w:pPr>
        <w:jc w:val="both"/>
        <w:rPr>
          <w:b/>
          <w:bCs/>
          <w:sz w:val="22"/>
          <w:szCs w:val="22"/>
          <w:lang w:val="en-US"/>
        </w:rPr>
      </w:pPr>
      <w:bookmarkStart w:id="0" w:name="_Int_mWFROGbO"/>
      <w:r w:rsidRPr="75780697">
        <w:rPr>
          <w:sz w:val="22"/>
          <w:szCs w:val="22"/>
          <w:lang w:val="en-US"/>
        </w:rPr>
        <w:t>On the basis of</w:t>
      </w:r>
      <w:bookmarkEnd w:id="0"/>
      <w:r w:rsidRPr="75780697">
        <w:rPr>
          <w:sz w:val="22"/>
          <w:szCs w:val="22"/>
          <w:lang w:val="en-US"/>
        </w:rPr>
        <w:t xml:space="preserve"> these Terms of Reference (“</w:t>
      </w:r>
      <w:r w:rsidRPr="75780697">
        <w:rPr>
          <w:b/>
          <w:bCs/>
          <w:sz w:val="22"/>
          <w:szCs w:val="22"/>
          <w:lang w:val="en-US"/>
        </w:rPr>
        <w:t>ToR</w:t>
      </w:r>
      <w:r w:rsidRPr="75780697">
        <w:rPr>
          <w:sz w:val="22"/>
          <w:szCs w:val="22"/>
          <w:lang w:val="en-US"/>
        </w:rPr>
        <w:t xml:space="preserve">”) IDH aims to select a party </w:t>
      </w:r>
      <w:r w:rsidR="00C47869">
        <w:rPr>
          <w:b/>
          <w:bCs/>
          <w:sz w:val="22"/>
          <w:szCs w:val="22"/>
          <w:lang w:val="en-US"/>
        </w:rPr>
        <w:t xml:space="preserve">to </w:t>
      </w:r>
      <w:r w:rsidR="00C47869" w:rsidRPr="00863221">
        <w:rPr>
          <w:b/>
          <w:bCs/>
          <w:sz w:val="22"/>
          <w:szCs w:val="22"/>
          <w:lang w:val="en-US"/>
        </w:rPr>
        <w:t>transla</w:t>
      </w:r>
      <w:r w:rsidR="00C47869">
        <w:rPr>
          <w:b/>
          <w:bCs/>
          <w:sz w:val="22"/>
          <w:szCs w:val="22"/>
          <w:lang w:val="en-US"/>
        </w:rPr>
        <w:t>te</w:t>
      </w:r>
      <w:r w:rsidR="00C47869" w:rsidRPr="00863221">
        <w:rPr>
          <w:b/>
          <w:bCs/>
          <w:sz w:val="22"/>
          <w:szCs w:val="22"/>
          <w:lang w:val="en-US"/>
        </w:rPr>
        <w:t xml:space="preserve"> key learnings of our work</w:t>
      </w:r>
      <w:r w:rsidRPr="75780697">
        <w:rPr>
          <w:b/>
          <w:bCs/>
          <w:sz w:val="22"/>
          <w:szCs w:val="22"/>
          <w:lang w:val="en-US"/>
        </w:rPr>
        <w:t xml:space="preserve"> </w:t>
      </w:r>
      <w:r w:rsidR="001F4138">
        <w:rPr>
          <w:b/>
          <w:bCs/>
          <w:sz w:val="22"/>
          <w:szCs w:val="22"/>
          <w:lang w:val="en-US"/>
        </w:rPr>
        <w:t xml:space="preserve">operating </w:t>
      </w:r>
      <w:r w:rsidRPr="75780697">
        <w:rPr>
          <w:b/>
          <w:bCs/>
          <w:sz w:val="22"/>
          <w:szCs w:val="22"/>
          <w:lang w:val="en-US"/>
        </w:rPr>
        <w:t xml:space="preserve">the Technical Assistance Facility </w:t>
      </w:r>
      <w:r>
        <w:rPr>
          <w:b/>
          <w:bCs/>
          <w:sz w:val="22"/>
          <w:szCs w:val="22"/>
          <w:lang w:val="en-US"/>
        </w:rPr>
        <w:t>of the Land Degradation Neutrality Fund</w:t>
      </w:r>
      <w:r w:rsidR="00C47869" w:rsidRPr="00863221">
        <w:rPr>
          <w:b/>
          <w:bCs/>
          <w:sz w:val="22"/>
          <w:szCs w:val="22"/>
          <w:lang w:val="en-US"/>
        </w:rPr>
        <w:t xml:space="preserve"> into engaging, targeted, and inspiring knowledge products for </w:t>
      </w:r>
      <w:r w:rsidR="00C47869">
        <w:rPr>
          <w:b/>
          <w:bCs/>
          <w:sz w:val="22"/>
          <w:szCs w:val="22"/>
          <w:lang w:val="en-US"/>
        </w:rPr>
        <w:t>selected</w:t>
      </w:r>
      <w:r w:rsidR="00C47869" w:rsidRPr="00863221">
        <w:rPr>
          <w:b/>
          <w:bCs/>
          <w:sz w:val="22"/>
          <w:szCs w:val="22"/>
          <w:lang w:val="en-US"/>
        </w:rPr>
        <w:t xml:space="preserve"> </w:t>
      </w:r>
      <w:r w:rsidR="00C47869" w:rsidRPr="00EF22AE">
        <w:rPr>
          <w:b/>
          <w:bCs/>
          <w:sz w:val="22"/>
          <w:szCs w:val="22"/>
          <w:lang w:val="en-US"/>
        </w:rPr>
        <w:t>audiences</w:t>
      </w:r>
      <w:r w:rsidR="00C47869">
        <w:rPr>
          <w:b/>
          <w:bCs/>
          <w:sz w:val="22"/>
          <w:szCs w:val="22"/>
          <w:lang w:val="en-US"/>
        </w:rPr>
        <w:t>.</w:t>
      </w:r>
    </w:p>
    <w:p w14:paraId="0F7C9A37" w14:textId="77777777" w:rsidR="00BB2517" w:rsidRPr="002502D5" w:rsidRDefault="00BB2517" w:rsidP="00FC0A82">
      <w:pPr>
        <w:pStyle w:val="Headingnew"/>
      </w:pPr>
      <w:r w:rsidRPr="75780697">
        <w:lastRenderedPageBreak/>
        <w:t>Background</w:t>
      </w:r>
    </w:p>
    <w:p w14:paraId="0023DEB9" w14:textId="04FB918A" w:rsidR="00FB7A26" w:rsidRPr="00FB7A26" w:rsidRDefault="00FB7A26" w:rsidP="00863221">
      <w:pPr>
        <w:jc w:val="both"/>
        <w:rPr>
          <w:u w:val="single"/>
          <w:lang w:val="en-US"/>
        </w:rPr>
      </w:pPr>
      <w:r>
        <w:rPr>
          <w:sz w:val="22"/>
          <w:szCs w:val="22"/>
          <w:u w:val="single"/>
          <w:lang w:val="en-US"/>
        </w:rPr>
        <w:t>The</w:t>
      </w:r>
      <w:r w:rsidRPr="00FB7A26">
        <w:rPr>
          <w:sz w:val="22"/>
          <w:szCs w:val="22"/>
          <w:u w:val="single"/>
          <w:lang w:val="en-US"/>
        </w:rPr>
        <w:t xml:space="preserve"> Land</w:t>
      </w:r>
      <w:r>
        <w:rPr>
          <w:sz w:val="22"/>
          <w:szCs w:val="22"/>
          <w:u w:val="single"/>
          <w:lang w:val="en-US"/>
        </w:rPr>
        <w:t xml:space="preserve"> Degradation Neutrality </w:t>
      </w:r>
      <w:r w:rsidRPr="00FB7A26">
        <w:rPr>
          <w:sz w:val="22"/>
          <w:szCs w:val="22"/>
          <w:u w:val="single"/>
          <w:lang w:val="en-US"/>
        </w:rPr>
        <w:t>F</w:t>
      </w:r>
      <w:r>
        <w:rPr>
          <w:sz w:val="22"/>
          <w:szCs w:val="22"/>
          <w:u w:val="single"/>
          <w:lang w:val="en-US"/>
        </w:rPr>
        <w:t>und</w:t>
      </w:r>
    </w:p>
    <w:p w14:paraId="20CD37DD" w14:textId="74019529" w:rsidR="00941DFD" w:rsidRDefault="00941DFD" w:rsidP="00BB2517">
      <w:pPr>
        <w:jc w:val="both"/>
        <w:rPr>
          <w:sz w:val="22"/>
          <w:szCs w:val="22"/>
          <w:lang w:val="en-US"/>
        </w:rPr>
      </w:pPr>
      <w:r w:rsidRPr="00863221">
        <w:rPr>
          <w:sz w:val="22"/>
          <w:szCs w:val="22"/>
          <w:lang w:val="en-US"/>
        </w:rPr>
        <w:t>The Land Degradation Neutrality Fund, co-promoted by the </w:t>
      </w:r>
      <w:hyperlink r:id="rId12" w:tgtFrame="_blank" w:history="1">
        <w:r w:rsidRPr="00863221">
          <w:rPr>
            <w:sz w:val="22"/>
            <w:szCs w:val="22"/>
            <w:lang w:val="en-US"/>
          </w:rPr>
          <w:t>UNCCD</w:t>
        </w:r>
      </w:hyperlink>
      <w:r w:rsidRPr="00863221">
        <w:rPr>
          <w:sz w:val="22"/>
          <w:szCs w:val="22"/>
          <w:lang w:val="en-US"/>
        </w:rPr>
        <w:t>, is a first-of-its-kind fund investing in profit-generating sustainable land management and land restoration projects that contribute to SDG 15.3.</w:t>
      </w:r>
      <w:r>
        <w:rPr>
          <w:sz w:val="22"/>
          <w:szCs w:val="22"/>
          <w:lang w:val="en-US"/>
        </w:rPr>
        <w:t xml:space="preserve"> </w:t>
      </w:r>
      <w:r w:rsidRPr="00863221">
        <w:rPr>
          <w:sz w:val="22"/>
          <w:szCs w:val="22"/>
          <w:lang w:val="en-US"/>
        </w:rPr>
        <w:t xml:space="preserve">The Fund </w:t>
      </w:r>
      <w:r w:rsidRPr="009A5DD8">
        <w:rPr>
          <w:sz w:val="22"/>
          <w:szCs w:val="22"/>
          <w:lang w:val="en-US"/>
        </w:rPr>
        <w:t xml:space="preserve">is managed by Mirova </w:t>
      </w:r>
      <w:r>
        <w:rPr>
          <w:sz w:val="22"/>
          <w:szCs w:val="22"/>
          <w:lang w:val="en-US"/>
        </w:rPr>
        <w:t xml:space="preserve">and </w:t>
      </w:r>
      <w:r w:rsidRPr="00863221">
        <w:rPr>
          <w:sz w:val="22"/>
          <w:szCs w:val="22"/>
          <w:lang w:val="en-US"/>
        </w:rPr>
        <w:t>provides long-term debt and equity financing for sustainable land use projects that reduce or reverse land degradation. It</w:t>
      </w:r>
      <w:r>
        <w:rPr>
          <w:sz w:val="22"/>
          <w:szCs w:val="22"/>
          <w:lang w:val="en-US"/>
        </w:rPr>
        <w:t xml:space="preserve"> is</w:t>
      </w:r>
      <w:r w:rsidRPr="00863221">
        <w:rPr>
          <w:sz w:val="22"/>
          <w:szCs w:val="22"/>
          <w:lang w:val="en-US"/>
        </w:rPr>
        <w:t xml:space="preserve"> structured as a blended finance fund, pooling resources from both public and private investors committed to the goal of stopping land degradation.</w:t>
      </w:r>
      <w:r>
        <w:rPr>
          <w:sz w:val="22"/>
          <w:szCs w:val="22"/>
          <w:lang w:val="en-US"/>
        </w:rPr>
        <w:t xml:space="preserve"> The fund has a lifetime of 15 years, but the TAF is in its final year of operation, having operated for f</w:t>
      </w:r>
      <w:r w:rsidR="004115B7">
        <w:rPr>
          <w:sz w:val="22"/>
          <w:szCs w:val="22"/>
          <w:lang w:val="en-US"/>
        </w:rPr>
        <w:t>ive</w:t>
      </w:r>
      <w:r>
        <w:rPr>
          <w:sz w:val="22"/>
          <w:szCs w:val="22"/>
          <w:lang w:val="en-US"/>
        </w:rPr>
        <w:t xml:space="preserve"> years assisting potential investees to gear up </w:t>
      </w:r>
      <w:r w:rsidR="00FB7A26">
        <w:rPr>
          <w:sz w:val="22"/>
          <w:szCs w:val="22"/>
          <w:lang w:val="en-US"/>
        </w:rPr>
        <w:t>their investment-readiness.</w:t>
      </w:r>
      <w:r>
        <w:rPr>
          <w:sz w:val="22"/>
          <w:szCs w:val="22"/>
          <w:lang w:val="en-US"/>
        </w:rPr>
        <w:t xml:space="preserve"> </w:t>
      </w:r>
    </w:p>
    <w:p w14:paraId="6A817D5F" w14:textId="6348DB65" w:rsidR="001A62EA" w:rsidRPr="00FB7A26" w:rsidRDefault="001A62EA" w:rsidP="001A62EA">
      <w:pPr>
        <w:jc w:val="both"/>
        <w:rPr>
          <w:sz w:val="22"/>
          <w:szCs w:val="22"/>
          <w:u w:val="single"/>
          <w:lang w:val="en-US"/>
        </w:rPr>
      </w:pPr>
      <w:r>
        <w:rPr>
          <w:sz w:val="22"/>
          <w:szCs w:val="22"/>
          <w:u w:val="single"/>
          <w:lang w:val="en-US"/>
        </w:rPr>
        <w:t>The</w:t>
      </w:r>
      <w:r w:rsidRPr="00FB7A26">
        <w:rPr>
          <w:sz w:val="22"/>
          <w:szCs w:val="22"/>
          <w:u w:val="single"/>
          <w:lang w:val="en-US"/>
        </w:rPr>
        <w:t xml:space="preserve"> Land</w:t>
      </w:r>
      <w:r>
        <w:rPr>
          <w:sz w:val="22"/>
          <w:szCs w:val="22"/>
          <w:u w:val="single"/>
          <w:lang w:val="en-US"/>
        </w:rPr>
        <w:t xml:space="preserve"> Degradation Neutrality </w:t>
      </w:r>
      <w:r w:rsidRPr="00FB7A26">
        <w:rPr>
          <w:sz w:val="22"/>
          <w:szCs w:val="22"/>
          <w:u w:val="single"/>
          <w:lang w:val="en-US"/>
        </w:rPr>
        <w:t>F</w:t>
      </w:r>
      <w:r>
        <w:rPr>
          <w:sz w:val="22"/>
          <w:szCs w:val="22"/>
          <w:u w:val="single"/>
          <w:lang w:val="en-US"/>
        </w:rPr>
        <w:t>und Technical Assistance Facility (LDN TAF)</w:t>
      </w:r>
    </w:p>
    <w:p w14:paraId="61BDFC13" w14:textId="469CB6C9" w:rsidR="001A62EA" w:rsidRDefault="003348AC" w:rsidP="003348AC">
      <w:pPr>
        <w:jc w:val="both"/>
        <w:rPr>
          <w:sz w:val="22"/>
          <w:szCs w:val="22"/>
          <w:lang w:val="en-US"/>
        </w:rPr>
      </w:pPr>
      <w:r w:rsidRPr="00863221">
        <w:rPr>
          <w:sz w:val="22"/>
          <w:szCs w:val="22"/>
          <w:lang w:val="en-US"/>
        </w:rPr>
        <w:t xml:space="preserve">The </w:t>
      </w:r>
      <w:r w:rsidR="00B05B3F">
        <w:rPr>
          <w:sz w:val="22"/>
          <w:szCs w:val="22"/>
          <w:lang w:val="en-US"/>
        </w:rPr>
        <w:t>T</w:t>
      </w:r>
      <w:r w:rsidRPr="00863221">
        <w:rPr>
          <w:sz w:val="22"/>
          <w:szCs w:val="22"/>
          <w:lang w:val="en-US"/>
        </w:rPr>
        <w:t xml:space="preserve">echnical </w:t>
      </w:r>
      <w:r w:rsidR="00B05B3F">
        <w:rPr>
          <w:sz w:val="22"/>
          <w:szCs w:val="22"/>
          <w:lang w:val="en-US"/>
        </w:rPr>
        <w:t>A</w:t>
      </w:r>
      <w:r w:rsidRPr="00863221">
        <w:rPr>
          <w:sz w:val="22"/>
          <w:szCs w:val="22"/>
          <w:lang w:val="en-US"/>
        </w:rPr>
        <w:t xml:space="preserve">ssistance </w:t>
      </w:r>
      <w:r w:rsidR="00B05B3F">
        <w:rPr>
          <w:sz w:val="22"/>
          <w:szCs w:val="22"/>
          <w:lang w:val="en-US"/>
        </w:rPr>
        <w:t>F</w:t>
      </w:r>
      <w:r w:rsidRPr="00863221">
        <w:rPr>
          <w:sz w:val="22"/>
          <w:szCs w:val="22"/>
          <w:lang w:val="en-US"/>
        </w:rPr>
        <w:t>acility</w:t>
      </w:r>
      <w:r>
        <w:rPr>
          <w:sz w:val="22"/>
          <w:szCs w:val="22"/>
          <w:lang w:val="en-US"/>
        </w:rPr>
        <w:t xml:space="preserve"> </w:t>
      </w:r>
      <w:r w:rsidR="00B05B3F">
        <w:rPr>
          <w:sz w:val="22"/>
          <w:szCs w:val="22"/>
          <w:lang w:val="en-US"/>
        </w:rPr>
        <w:t xml:space="preserve">(TAF) </w:t>
      </w:r>
      <w:r w:rsidRPr="00863221">
        <w:rPr>
          <w:sz w:val="22"/>
          <w:szCs w:val="22"/>
          <w:lang w:val="en-US"/>
        </w:rPr>
        <w:t xml:space="preserve">aims to </w:t>
      </w:r>
      <w:r w:rsidRPr="003348AC">
        <w:rPr>
          <w:sz w:val="22"/>
          <w:szCs w:val="22"/>
          <w:lang w:val="en-US"/>
        </w:rPr>
        <w:t>maximize</w:t>
      </w:r>
      <w:r w:rsidRPr="00863221">
        <w:rPr>
          <w:sz w:val="22"/>
          <w:szCs w:val="22"/>
          <w:lang w:val="en-US"/>
        </w:rPr>
        <w:t xml:space="preserve"> positive impacts and reduce</w:t>
      </w:r>
      <w:r>
        <w:rPr>
          <w:sz w:val="22"/>
          <w:szCs w:val="22"/>
          <w:lang w:val="en-US"/>
        </w:rPr>
        <w:t xml:space="preserve"> </w:t>
      </w:r>
      <w:r w:rsidRPr="00863221">
        <w:rPr>
          <w:sz w:val="22"/>
          <w:szCs w:val="22"/>
          <w:lang w:val="en-US"/>
        </w:rPr>
        <w:t>commercial and ESG risks. It provides grants to</w:t>
      </w:r>
      <w:r>
        <w:rPr>
          <w:sz w:val="22"/>
          <w:szCs w:val="22"/>
          <w:lang w:val="en-US"/>
        </w:rPr>
        <w:t xml:space="preserve"> </w:t>
      </w:r>
      <w:r w:rsidRPr="00863221">
        <w:rPr>
          <w:sz w:val="22"/>
          <w:szCs w:val="22"/>
          <w:lang w:val="en-US"/>
        </w:rPr>
        <w:t>support projects seeking investment from the</w:t>
      </w:r>
      <w:r>
        <w:rPr>
          <w:sz w:val="22"/>
          <w:szCs w:val="22"/>
          <w:lang w:val="en-US"/>
        </w:rPr>
        <w:t xml:space="preserve"> </w:t>
      </w:r>
      <w:r w:rsidRPr="00863221">
        <w:rPr>
          <w:sz w:val="22"/>
          <w:szCs w:val="22"/>
          <w:lang w:val="en-US"/>
        </w:rPr>
        <w:t>LDN Fund and is funded by donor contributions</w:t>
      </w:r>
      <w:r>
        <w:rPr>
          <w:sz w:val="22"/>
          <w:szCs w:val="22"/>
          <w:lang w:val="en-US"/>
        </w:rPr>
        <w:t xml:space="preserve"> </w:t>
      </w:r>
      <w:r w:rsidRPr="00863221">
        <w:rPr>
          <w:sz w:val="22"/>
          <w:szCs w:val="22"/>
          <w:lang w:val="en-US"/>
        </w:rPr>
        <w:t>of a target size of 5% of the fund’s size.</w:t>
      </w:r>
      <w:r>
        <w:rPr>
          <w:sz w:val="22"/>
          <w:szCs w:val="22"/>
          <w:lang w:val="en-US"/>
        </w:rPr>
        <w:t xml:space="preserve"> </w:t>
      </w:r>
      <w:r w:rsidR="001A62EA">
        <w:rPr>
          <w:sz w:val="22"/>
          <w:szCs w:val="22"/>
          <w:lang w:val="en-US"/>
        </w:rPr>
        <w:t xml:space="preserve">Key activities of the </w:t>
      </w:r>
      <w:r w:rsidR="00F54FCB">
        <w:rPr>
          <w:sz w:val="22"/>
          <w:szCs w:val="22"/>
          <w:lang w:val="en-US"/>
        </w:rPr>
        <w:t xml:space="preserve">LDN </w:t>
      </w:r>
      <w:r w:rsidR="001A62EA">
        <w:rPr>
          <w:sz w:val="22"/>
          <w:szCs w:val="22"/>
          <w:lang w:val="en-US"/>
        </w:rPr>
        <w:t>T</w:t>
      </w:r>
      <w:r w:rsidR="00F54FCB">
        <w:rPr>
          <w:sz w:val="22"/>
          <w:szCs w:val="22"/>
          <w:lang w:val="en-US"/>
        </w:rPr>
        <w:t xml:space="preserve">echnical Assistance </w:t>
      </w:r>
      <w:r w:rsidR="001A62EA">
        <w:rPr>
          <w:sz w:val="22"/>
          <w:szCs w:val="22"/>
          <w:lang w:val="en-US"/>
        </w:rPr>
        <w:t>F</w:t>
      </w:r>
      <w:r w:rsidR="00F54FCB">
        <w:rPr>
          <w:sz w:val="22"/>
          <w:szCs w:val="22"/>
          <w:lang w:val="en-US"/>
        </w:rPr>
        <w:t>acility</w:t>
      </w:r>
      <w:r w:rsidR="001A62EA">
        <w:rPr>
          <w:sz w:val="22"/>
          <w:szCs w:val="22"/>
          <w:lang w:val="en-US"/>
        </w:rPr>
        <w:t xml:space="preserve"> are:</w:t>
      </w:r>
    </w:p>
    <w:p w14:paraId="337C28C6" w14:textId="77777777" w:rsidR="00F54FCB" w:rsidRPr="00F54FCB" w:rsidRDefault="00F54FCB" w:rsidP="00F54FCB">
      <w:pPr>
        <w:numPr>
          <w:ilvl w:val="0"/>
          <w:numId w:val="10"/>
        </w:numPr>
        <w:jc w:val="both"/>
        <w:rPr>
          <w:sz w:val="22"/>
          <w:szCs w:val="22"/>
          <w:lang w:val="en-GB"/>
        </w:rPr>
      </w:pPr>
      <w:r w:rsidRPr="00F54FCB">
        <w:rPr>
          <w:sz w:val="22"/>
          <w:szCs w:val="22"/>
          <w:lang w:val="en-US"/>
        </w:rPr>
        <w:t xml:space="preserve">Pre investment stage </w:t>
      </w:r>
      <w:r w:rsidRPr="00F54FCB">
        <w:rPr>
          <w:sz w:val="22"/>
          <w:szCs w:val="22"/>
          <w:lang w:val="en-GB"/>
        </w:rPr>
        <w:t>project design support;</w:t>
      </w:r>
    </w:p>
    <w:p w14:paraId="3D34F5F1" w14:textId="77777777" w:rsidR="00F54FCB" w:rsidRPr="00F54FCB" w:rsidRDefault="00F54FCB" w:rsidP="00F54FCB">
      <w:pPr>
        <w:numPr>
          <w:ilvl w:val="0"/>
          <w:numId w:val="10"/>
        </w:numPr>
        <w:jc w:val="both"/>
        <w:rPr>
          <w:sz w:val="22"/>
          <w:szCs w:val="22"/>
          <w:lang w:val="en-GB"/>
        </w:rPr>
      </w:pPr>
      <w:r w:rsidRPr="00F54FCB">
        <w:rPr>
          <w:sz w:val="22"/>
          <w:szCs w:val="22"/>
          <w:lang w:val="en-GB"/>
        </w:rPr>
        <w:t>Post-investment assistance to projects in the implementation phase;</w:t>
      </w:r>
    </w:p>
    <w:p w14:paraId="33CBF95D" w14:textId="77777777" w:rsidR="00F54FCB" w:rsidRPr="00F54FCB" w:rsidRDefault="00F54FCB" w:rsidP="00F54FCB">
      <w:pPr>
        <w:numPr>
          <w:ilvl w:val="0"/>
          <w:numId w:val="10"/>
        </w:numPr>
        <w:jc w:val="both"/>
        <w:rPr>
          <w:sz w:val="22"/>
          <w:szCs w:val="22"/>
          <w:lang w:val="en-GB"/>
        </w:rPr>
      </w:pPr>
      <w:r w:rsidRPr="00863221">
        <w:rPr>
          <w:sz w:val="22"/>
          <w:szCs w:val="22"/>
          <w:lang w:val="en-GB"/>
        </w:rPr>
        <w:t>Impact monitoring</w:t>
      </w:r>
      <w:r w:rsidRPr="00F54FCB">
        <w:rPr>
          <w:sz w:val="22"/>
          <w:szCs w:val="22"/>
          <w:lang w:val="en-GB"/>
        </w:rPr>
        <w:t>, including of LDN impacts;</w:t>
      </w:r>
    </w:p>
    <w:p w14:paraId="332A4452" w14:textId="77777777" w:rsidR="00F54FCB" w:rsidRPr="00F54FCB" w:rsidRDefault="00F54FCB" w:rsidP="00F54FCB">
      <w:pPr>
        <w:numPr>
          <w:ilvl w:val="0"/>
          <w:numId w:val="10"/>
        </w:numPr>
        <w:jc w:val="both"/>
        <w:rPr>
          <w:sz w:val="22"/>
          <w:szCs w:val="22"/>
          <w:lang w:val="en-GB"/>
        </w:rPr>
      </w:pPr>
      <w:r w:rsidRPr="00F54FCB">
        <w:rPr>
          <w:sz w:val="22"/>
          <w:szCs w:val="22"/>
          <w:lang w:val="en-GB"/>
        </w:rPr>
        <w:t>L</w:t>
      </w:r>
      <w:r w:rsidRPr="00863221">
        <w:rPr>
          <w:sz w:val="22"/>
          <w:szCs w:val="22"/>
          <w:lang w:val="en-GB"/>
        </w:rPr>
        <w:t xml:space="preserve">earning &amp; Knowledge Sharing </w:t>
      </w:r>
      <w:r w:rsidRPr="00F54FCB">
        <w:rPr>
          <w:sz w:val="22"/>
          <w:szCs w:val="22"/>
          <w:lang w:val="en-GB"/>
        </w:rPr>
        <w:t>of successful models for SLM investment, beyond the LDN Fund and its projects.</w:t>
      </w:r>
    </w:p>
    <w:p w14:paraId="5F9CDD76" w14:textId="30F24295" w:rsidR="00F54FCB" w:rsidRDefault="00FB7A26" w:rsidP="00F54FCB">
      <w:pPr>
        <w:jc w:val="both"/>
        <w:rPr>
          <w:sz w:val="22"/>
          <w:szCs w:val="22"/>
          <w:lang w:val="en-US"/>
        </w:rPr>
      </w:pPr>
      <w:r>
        <w:rPr>
          <w:sz w:val="22"/>
          <w:szCs w:val="22"/>
          <w:lang w:val="en-US"/>
        </w:rPr>
        <w:t xml:space="preserve">During </w:t>
      </w:r>
      <w:r w:rsidR="00F54FCB">
        <w:rPr>
          <w:sz w:val="22"/>
          <w:szCs w:val="22"/>
          <w:lang w:val="en-US"/>
        </w:rPr>
        <w:t>it</w:t>
      </w:r>
      <w:r>
        <w:rPr>
          <w:sz w:val="22"/>
          <w:szCs w:val="22"/>
          <w:lang w:val="en-US"/>
        </w:rPr>
        <w:t>s period</w:t>
      </w:r>
      <w:r w:rsidR="00F54FCB">
        <w:rPr>
          <w:sz w:val="22"/>
          <w:szCs w:val="22"/>
          <w:lang w:val="en-US"/>
        </w:rPr>
        <w:t xml:space="preserve"> of operation</w:t>
      </w:r>
      <w:r>
        <w:rPr>
          <w:sz w:val="22"/>
          <w:szCs w:val="22"/>
          <w:lang w:val="en-US"/>
        </w:rPr>
        <w:t>, many pre- and post-</w:t>
      </w:r>
      <w:r w:rsidR="00F54FCB">
        <w:rPr>
          <w:sz w:val="22"/>
          <w:szCs w:val="22"/>
          <w:lang w:val="en-US"/>
        </w:rPr>
        <w:t xml:space="preserve">investment </w:t>
      </w:r>
      <w:r>
        <w:rPr>
          <w:sz w:val="22"/>
          <w:szCs w:val="22"/>
          <w:lang w:val="en-US"/>
        </w:rPr>
        <w:t>TA projects have been con</w:t>
      </w:r>
      <w:r w:rsidR="00F54FCB">
        <w:rPr>
          <w:sz w:val="22"/>
          <w:szCs w:val="22"/>
          <w:lang w:val="en-US"/>
        </w:rPr>
        <w:t>cluded, LDN impact monitoring systems have been set up,</w:t>
      </w:r>
      <w:r>
        <w:rPr>
          <w:sz w:val="22"/>
          <w:szCs w:val="22"/>
          <w:lang w:val="en-US"/>
        </w:rPr>
        <w:t xml:space="preserve"> and from these </w:t>
      </w:r>
      <w:r w:rsidR="00F54FCB">
        <w:rPr>
          <w:sz w:val="22"/>
          <w:szCs w:val="22"/>
          <w:lang w:val="en-US"/>
        </w:rPr>
        <w:t xml:space="preserve">interventions, </w:t>
      </w:r>
      <w:r>
        <w:rPr>
          <w:sz w:val="22"/>
          <w:szCs w:val="22"/>
          <w:lang w:val="en-US"/>
        </w:rPr>
        <w:t xml:space="preserve">a vast body of learning has been amassed. </w:t>
      </w:r>
      <w:r w:rsidR="001A62EA">
        <w:rPr>
          <w:sz w:val="22"/>
          <w:szCs w:val="22"/>
          <w:lang w:val="en-US"/>
        </w:rPr>
        <w:t>As s</w:t>
      </w:r>
      <w:r w:rsidR="5FC4D0E3" w:rsidRPr="75780697">
        <w:rPr>
          <w:sz w:val="22"/>
          <w:szCs w:val="22"/>
          <w:lang w:val="en-US"/>
        </w:rPr>
        <w:t xml:space="preserve">haring </w:t>
      </w:r>
      <w:r w:rsidR="001A62EA">
        <w:rPr>
          <w:sz w:val="22"/>
          <w:szCs w:val="22"/>
          <w:lang w:val="en-US"/>
        </w:rPr>
        <w:t>of knowledge,</w:t>
      </w:r>
      <w:r w:rsidR="001A62EA" w:rsidRPr="75780697">
        <w:rPr>
          <w:sz w:val="22"/>
          <w:szCs w:val="22"/>
          <w:lang w:val="en-US"/>
        </w:rPr>
        <w:t xml:space="preserve"> </w:t>
      </w:r>
      <w:r w:rsidR="5FC4D0E3" w:rsidRPr="75780697">
        <w:rPr>
          <w:sz w:val="22"/>
          <w:szCs w:val="22"/>
          <w:lang w:val="en-US"/>
        </w:rPr>
        <w:t xml:space="preserve">learnings </w:t>
      </w:r>
      <w:r w:rsidR="001A62EA">
        <w:rPr>
          <w:sz w:val="22"/>
          <w:szCs w:val="22"/>
          <w:lang w:val="en-US"/>
        </w:rPr>
        <w:t xml:space="preserve">and insights is one of the objectives of </w:t>
      </w:r>
      <w:r w:rsidR="00F54FCB">
        <w:rPr>
          <w:sz w:val="22"/>
          <w:szCs w:val="22"/>
          <w:lang w:val="en-US"/>
        </w:rPr>
        <w:t xml:space="preserve">the TAF, this final year is used among other to </w:t>
      </w:r>
      <w:r w:rsidR="70CCC750" w:rsidRPr="75780697">
        <w:rPr>
          <w:sz w:val="22"/>
          <w:szCs w:val="22"/>
          <w:lang w:val="en-US"/>
        </w:rPr>
        <w:t xml:space="preserve">inspire </w:t>
      </w:r>
      <w:r w:rsidR="00B05B3F">
        <w:rPr>
          <w:sz w:val="22"/>
          <w:szCs w:val="22"/>
          <w:lang w:val="en-US"/>
        </w:rPr>
        <w:t xml:space="preserve">and aid </w:t>
      </w:r>
      <w:r w:rsidR="70CCC750" w:rsidRPr="75780697">
        <w:rPr>
          <w:sz w:val="22"/>
          <w:szCs w:val="22"/>
          <w:lang w:val="en-US"/>
        </w:rPr>
        <w:t xml:space="preserve">others </w:t>
      </w:r>
      <w:r w:rsidR="00B05B3F">
        <w:rPr>
          <w:sz w:val="22"/>
          <w:szCs w:val="22"/>
          <w:lang w:val="en-US"/>
        </w:rPr>
        <w:t xml:space="preserve">with </w:t>
      </w:r>
      <w:r w:rsidR="009E138E">
        <w:rPr>
          <w:sz w:val="22"/>
          <w:szCs w:val="22"/>
          <w:lang w:val="en-US"/>
        </w:rPr>
        <w:t>insights and</w:t>
      </w:r>
      <w:r w:rsidR="70CCC750" w:rsidRPr="75780697">
        <w:rPr>
          <w:sz w:val="22"/>
          <w:szCs w:val="22"/>
          <w:lang w:val="en-US"/>
        </w:rPr>
        <w:t xml:space="preserve"> contribute to the global agenda on </w:t>
      </w:r>
      <w:r w:rsidR="003348AC">
        <w:rPr>
          <w:sz w:val="22"/>
          <w:szCs w:val="22"/>
          <w:lang w:val="en-US"/>
        </w:rPr>
        <w:t xml:space="preserve">investment in </w:t>
      </w:r>
      <w:r w:rsidR="70CCC750" w:rsidRPr="75780697">
        <w:rPr>
          <w:sz w:val="22"/>
          <w:szCs w:val="22"/>
          <w:lang w:val="en-US"/>
        </w:rPr>
        <w:t>s</w:t>
      </w:r>
      <w:r w:rsidR="7FD8CD18" w:rsidRPr="75780697">
        <w:rPr>
          <w:sz w:val="22"/>
          <w:szCs w:val="22"/>
          <w:lang w:val="en-US"/>
        </w:rPr>
        <w:t>ustainable land management</w:t>
      </w:r>
      <w:r w:rsidR="4710A702" w:rsidRPr="75780697">
        <w:rPr>
          <w:sz w:val="22"/>
          <w:szCs w:val="22"/>
          <w:lang w:val="en-US"/>
        </w:rPr>
        <w:t xml:space="preserve">. </w:t>
      </w:r>
      <w:r w:rsidR="00836964">
        <w:rPr>
          <w:sz w:val="22"/>
          <w:szCs w:val="22"/>
          <w:lang w:val="en-US"/>
        </w:rPr>
        <w:t>(</w:t>
      </w:r>
      <w:r w:rsidR="004115B7">
        <w:rPr>
          <w:sz w:val="22"/>
          <w:szCs w:val="22"/>
          <w:lang w:val="en-US"/>
        </w:rPr>
        <w:t>Also see:</w:t>
      </w:r>
      <w:r w:rsidR="00836964">
        <w:rPr>
          <w:sz w:val="22"/>
          <w:szCs w:val="22"/>
          <w:lang w:val="en-US"/>
        </w:rPr>
        <w:t xml:space="preserve"> </w:t>
      </w:r>
      <w:hyperlink r:id="rId13" w:history="1">
        <w:r w:rsidR="00836964" w:rsidRPr="00836964">
          <w:rPr>
            <w:rStyle w:val="Hyperlink"/>
            <w:sz w:val="22"/>
            <w:szCs w:val="22"/>
            <w:lang w:val="en-US"/>
          </w:rPr>
          <w:t>https://www.idhsustainabletrade.com/ldn-insights/</w:t>
        </w:r>
      </w:hyperlink>
      <w:r w:rsidR="00836964">
        <w:rPr>
          <w:sz w:val="22"/>
          <w:szCs w:val="22"/>
          <w:lang w:val="en-US"/>
        </w:rPr>
        <w:t>)</w:t>
      </w:r>
    </w:p>
    <w:p w14:paraId="1B937F55" w14:textId="41261AD6" w:rsidR="00BB2517" w:rsidRPr="002502D5" w:rsidRDefault="00F54FCB" w:rsidP="00F54FCB">
      <w:pPr>
        <w:jc w:val="both"/>
        <w:rPr>
          <w:sz w:val="22"/>
          <w:szCs w:val="22"/>
          <w:lang w:val="en-US"/>
        </w:rPr>
      </w:pPr>
      <w:r>
        <w:rPr>
          <w:sz w:val="22"/>
          <w:szCs w:val="22"/>
          <w:lang w:val="en-US"/>
        </w:rPr>
        <w:t>It is within this context that IDH is</w:t>
      </w:r>
      <w:r w:rsidR="1C659303" w:rsidRPr="75780697">
        <w:rPr>
          <w:sz w:val="22"/>
          <w:szCs w:val="22"/>
          <w:lang w:val="en-US"/>
        </w:rPr>
        <w:t xml:space="preserve"> </w:t>
      </w:r>
      <w:r w:rsidR="00C90D27" w:rsidRPr="75780697">
        <w:rPr>
          <w:sz w:val="22"/>
          <w:szCs w:val="22"/>
          <w:lang w:val="en-US"/>
        </w:rPr>
        <w:t xml:space="preserve">looking for </w:t>
      </w:r>
      <w:r w:rsidR="00C90D27" w:rsidRPr="00863221">
        <w:rPr>
          <w:b/>
          <w:bCs/>
          <w:sz w:val="22"/>
          <w:szCs w:val="22"/>
          <w:lang w:val="en-US"/>
        </w:rPr>
        <w:t xml:space="preserve">consultant </w:t>
      </w:r>
      <w:r w:rsidR="00C90D27" w:rsidRPr="75780697">
        <w:rPr>
          <w:sz w:val="22"/>
          <w:szCs w:val="22"/>
          <w:lang w:val="en-US"/>
        </w:rPr>
        <w:t xml:space="preserve">support </w:t>
      </w:r>
      <w:r w:rsidR="003348AC">
        <w:rPr>
          <w:sz w:val="22"/>
          <w:szCs w:val="22"/>
          <w:lang w:val="en-US"/>
        </w:rPr>
        <w:t>with</w:t>
      </w:r>
      <w:r w:rsidR="00C90D27" w:rsidRPr="75780697">
        <w:rPr>
          <w:sz w:val="22"/>
          <w:szCs w:val="22"/>
          <w:lang w:val="en-US"/>
        </w:rPr>
        <w:t xml:space="preserve"> experience and expertise in </w:t>
      </w:r>
      <w:r w:rsidR="5685D04D" w:rsidRPr="00863221">
        <w:rPr>
          <w:b/>
          <w:bCs/>
          <w:sz w:val="22"/>
          <w:szCs w:val="22"/>
          <w:lang w:val="en-US"/>
        </w:rPr>
        <w:t>translating key learnings of our work into engaging, targeted, and inspiring knowledge products</w:t>
      </w:r>
      <w:r w:rsidR="027B2475" w:rsidRPr="00863221">
        <w:rPr>
          <w:b/>
          <w:bCs/>
          <w:sz w:val="22"/>
          <w:szCs w:val="22"/>
          <w:lang w:val="en-US"/>
        </w:rPr>
        <w:t xml:space="preserve"> for </w:t>
      </w:r>
      <w:r w:rsidR="003348AC">
        <w:rPr>
          <w:b/>
          <w:bCs/>
          <w:sz w:val="22"/>
          <w:szCs w:val="22"/>
          <w:lang w:val="en-US"/>
        </w:rPr>
        <w:t>selected</w:t>
      </w:r>
      <w:r w:rsidR="00EF22AE" w:rsidRPr="00863221">
        <w:rPr>
          <w:b/>
          <w:bCs/>
          <w:sz w:val="22"/>
          <w:szCs w:val="22"/>
          <w:lang w:val="en-US"/>
        </w:rPr>
        <w:t xml:space="preserve"> </w:t>
      </w:r>
      <w:r w:rsidR="00EF22AE" w:rsidRPr="00EF22AE">
        <w:rPr>
          <w:b/>
          <w:bCs/>
          <w:sz w:val="22"/>
          <w:szCs w:val="22"/>
          <w:lang w:val="en-US"/>
        </w:rPr>
        <w:t>audiences</w:t>
      </w:r>
      <w:r w:rsidR="00EF22AE">
        <w:rPr>
          <w:b/>
          <w:bCs/>
          <w:sz w:val="22"/>
          <w:szCs w:val="22"/>
          <w:lang w:val="en-US"/>
        </w:rPr>
        <w:t>.</w:t>
      </w:r>
      <w:r w:rsidR="00EF22AE">
        <w:rPr>
          <w:sz w:val="22"/>
          <w:szCs w:val="22"/>
          <w:lang w:val="en-US"/>
        </w:rPr>
        <w:t xml:space="preserve"> The consultant is furthermore experienced in</w:t>
      </w:r>
      <w:r w:rsidR="00EF22AE" w:rsidRPr="75780697">
        <w:rPr>
          <w:sz w:val="22"/>
          <w:szCs w:val="22"/>
          <w:lang w:val="en-US"/>
        </w:rPr>
        <w:t xml:space="preserve"> </w:t>
      </w:r>
      <w:r w:rsidR="027B2475" w:rsidRPr="75780697">
        <w:rPr>
          <w:sz w:val="22"/>
          <w:szCs w:val="22"/>
          <w:lang w:val="en-US"/>
        </w:rPr>
        <w:t>dissemination</w:t>
      </w:r>
      <w:r w:rsidR="00EF22AE">
        <w:rPr>
          <w:sz w:val="22"/>
          <w:szCs w:val="22"/>
          <w:lang w:val="en-US"/>
        </w:rPr>
        <w:t xml:space="preserve"> of such learnings, in </w:t>
      </w:r>
      <w:r w:rsidR="00EF22AE" w:rsidRPr="00863221">
        <w:rPr>
          <w:b/>
          <w:bCs/>
          <w:sz w:val="22"/>
          <w:szCs w:val="22"/>
          <w:lang w:val="en-US"/>
        </w:rPr>
        <w:t>appropriate formats tailored to the respective audiences</w:t>
      </w:r>
      <w:r w:rsidR="00EF22AE">
        <w:rPr>
          <w:sz w:val="22"/>
          <w:szCs w:val="22"/>
          <w:lang w:val="en-US"/>
        </w:rPr>
        <w:t xml:space="preserve"> </w:t>
      </w:r>
      <w:r w:rsidR="00C90D27" w:rsidRPr="75780697">
        <w:rPr>
          <w:sz w:val="22"/>
          <w:szCs w:val="22"/>
          <w:lang w:val="en-US"/>
        </w:rPr>
        <w:t xml:space="preserve">across </w:t>
      </w:r>
      <w:r w:rsidR="09E450F7" w:rsidRPr="75780697">
        <w:rPr>
          <w:sz w:val="22"/>
          <w:szCs w:val="22"/>
          <w:lang w:val="en-US"/>
        </w:rPr>
        <w:t xml:space="preserve">different </w:t>
      </w:r>
      <w:r w:rsidR="00C90D27" w:rsidRPr="75780697">
        <w:rPr>
          <w:sz w:val="22"/>
          <w:szCs w:val="22"/>
          <w:lang w:val="en-US"/>
        </w:rPr>
        <w:t>topics</w:t>
      </w:r>
      <w:r w:rsidR="00EF22AE">
        <w:rPr>
          <w:sz w:val="22"/>
          <w:szCs w:val="22"/>
          <w:lang w:val="en-US"/>
        </w:rPr>
        <w:t>.</w:t>
      </w:r>
      <w:r w:rsidR="00532422" w:rsidRPr="75780697">
        <w:rPr>
          <w:sz w:val="22"/>
          <w:szCs w:val="22"/>
          <w:lang w:val="en-US"/>
        </w:rPr>
        <w:t xml:space="preserve"> </w:t>
      </w:r>
    </w:p>
    <w:p w14:paraId="048899A7" w14:textId="77777777" w:rsidR="00BB2517" w:rsidRPr="002502D5" w:rsidRDefault="00BB2517" w:rsidP="00BB2517">
      <w:pPr>
        <w:jc w:val="both"/>
        <w:rPr>
          <w:b/>
          <w:sz w:val="22"/>
          <w:szCs w:val="22"/>
          <w:lang w:val="en-US"/>
        </w:rPr>
      </w:pPr>
    </w:p>
    <w:p w14:paraId="077B50DF" w14:textId="77777777" w:rsidR="00BB2517" w:rsidRPr="002502D5" w:rsidRDefault="00BB2517" w:rsidP="00FC0A82">
      <w:pPr>
        <w:pStyle w:val="Headingnew"/>
      </w:pPr>
      <w:r w:rsidRPr="002502D5">
        <w:t>Assignment</w:t>
      </w:r>
    </w:p>
    <w:p w14:paraId="6DD0447B" w14:textId="002B2F88" w:rsidR="00E7086C" w:rsidRDefault="00E7086C" w:rsidP="75780697">
      <w:pPr>
        <w:jc w:val="both"/>
        <w:rPr>
          <w:sz w:val="22"/>
          <w:szCs w:val="22"/>
          <w:u w:val="single"/>
          <w:lang w:val="en-US"/>
        </w:rPr>
      </w:pPr>
      <w:r>
        <w:rPr>
          <w:sz w:val="22"/>
          <w:szCs w:val="22"/>
          <w:u w:val="single"/>
          <w:lang w:val="en-US"/>
        </w:rPr>
        <w:t xml:space="preserve">Objective </w:t>
      </w:r>
    </w:p>
    <w:p w14:paraId="286F3C45" w14:textId="1683B80A" w:rsidR="00BB2517" w:rsidRPr="002502D5" w:rsidRDefault="00BB2517" w:rsidP="75780697">
      <w:pPr>
        <w:jc w:val="both"/>
        <w:rPr>
          <w:sz w:val="22"/>
          <w:szCs w:val="22"/>
          <w:lang w:val="en-GB"/>
        </w:rPr>
      </w:pPr>
      <w:r w:rsidRPr="75780697">
        <w:rPr>
          <w:sz w:val="22"/>
          <w:szCs w:val="22"/>
          <w:lang w:val="en-GB"/>
        </w:rPr>
        <w:t xml:space="preserve">The </w:t>
      </w:r>
      <w:r w:rsidR="0E589E33" w:rsidRPr="75780697">
        <w:rPr>
          <w:sz w:val="22"/>
          <w:szCs w:val="22"/>
          <w:lang w:val="en-GB"/>
        </w:rPr>
        <w:t xml:space="preserve">overarching objective of this consultancy assignment is to develop compelling knowledge products that highlight key learnings of </w:t>
      </w:r>
      <w:r w:rsidR="00E7086C">
        <w:rPr>
          <w:sz w:val="22"/>
          <w:szCs w:val="22"/>
          <w:lang w:val="en-GB"/>
        </w:rPr>
        <w:t>operating the LDN Technical Assistance Facility</w:t>
      </w:r>
      <w:r w:rsidR="0E589E33" w:rsidRPr="75780697">
        <w:rPr>
          <w:sz w:val="22"/>
          <w:szCs w:val="22"/>
          <w:lang w:val="en-GB"/>
        </w:rPr>
        <w:t xml:space="preserve">, </w:t>
      </w:r>
      <w:r w:rsidR="00E7086C">
        <w:rPr>
          <w:sz w:val="22"/>
          <w:szCs w:val="22"/>
          <w:lang w:val="en-GB"/>
        </w:rPr>
        <w:t>and</w:t>
      </w:r>
      <w:r w:rsidR="00B05B3F">
        <w:rPr>
          <w:sz w:val="22"/>
          <w:szCs w:val="22"/>
          <w:lang w:val="en-GB"/>
        </w:rPr>
        <w:t xml:space="preserve"> to</w:t>
      </w:r>
      <w:r w:rsidR="00E7086C">
        <w:rPr>
          <w:sz w:val="22"/>
          <w:szCs w:val="22"/>
          <w:lang w:val="en-GB"/>
        </w:rPr>
        <w:t xml:space="preserve"> disseminate these in appropriate formats tailored to the respective target audience.</w:t>
      </w:r>
    </w:p>
    <w:p w14:paraId="58777331" w14:textId="6579FD07" w:rsidR="00F223E8" w:rsidRDefault="00F223E8" w:rsidP="00BB2517">
      <w:pPr>
        <w:jc w:val="both"/>
        <w:rPr>
          <w:sz w:val="22"/>
          <w:szCs w:val="22"/>
          <w:u w:val="single"/>
          <w:lang w:val="en-US"/>
        </w:rPr>
      </w:pPr>
      <w:r>
        <w:rPr>
          <w:sz w:val="22"/>
          <w:szCs w:val="22"/>
          <w:u w:val="single"/>
          <w:lang w:val="en-US"/>
        </w:rPr>
        <w:lastRenderedPageBreak/>
        <w:t>Preliminary Approach</w:t>
      </w:r>
    </w:p>
    <w:p w14:paraId="2189B8DD" w14:textId="5FF47D58" w:rsidR="00F223E8" w:rsidRDefault="00F223E8" w:rsidP="00F223E8">
      <w:pPr>
        <w:jc w:val="both"/>
        <w:rPr>
          <w:rFonts w:eastAsia="Calibri"/>
          <w:b/>
          <w:bCs/>
          <w:color w:val="00615F" w:themeColor="accent1"/>
          <w:sz w:val="22"/>
          <w:szCs w:val="22"/>
          <w:lang w:val="en-GB"/>
        </w:rPr>
      </w:pPr>
      <w:r w:rsidRPr="75780697">
        <w:rPr>
          <w:rFonts w:eastAsia="Calibri"/>
          <w:color w:val="00615F" w:themeColor="accent1"/>
          <w:sz w:val="22"/>
          <w:szCs w:val="22"/>
          <w:lang w:val="en-GB"/>
        </w:rPr>
        <w:t>T</w:t>
      </w:r>
      <w:r>
        <w:rPr>
          <w:rFonts w:eastAsia="Calibri"/>
          <w:color w:val="00615F" w:themeColor="accent1"/>
          <w:sz w:val="22"/>
          <w:szCs w:val="22"/>
          <w:lang w:val="en-GB"/>
        </w:rPr>
        <w:t>o this end t</w:t>
      </w:r>
      <w:r w:rsidRPr="75780697">
        <w:rPr>
          <w:rFonts w:eastAsia="Calibri"/>
          <w:color w:val="00615F" w:themeColor="accent1"/>
          <w:sz w:val="22"/>
          <w:szCs w:val="22"/>
          <w:lang w:val="en-GB"/>
        </w:rPr>
        <w:t>he consultant will be expected to</w:t>
      </w:r>
      <w:r w:rsidR="00B971D5">
        <w:rPr>
          <w:rFonts w:eastAsia="Calibri"/>
          <w:color w:val="00615F" w:themeColor="accent1"/>
          <w:sz w:val="22"/>
          <w:szCs w:val="22"/>
          <w:lang w:val="en-GB"/>
        </w:rPr>
        <w:t xml:space="preserve"> through the following steps</w:t>
      </w:r>
      <w:r w:rsidRPr="75780697">
        <w:rPr>
          <w:rFonts w:eastAsia="Calibri"/>
          <w:color w:val="00615F" w:themeColor="accent1"/>
          <w:sz w:val="22"/>
          <w:szCs w:val="22"/>
          <w:lang w:val="en-GB"/>
        </w:rPr>
        <w:t>:</w:t>
      </w:r>
    </w:p>
    <w:p w14:paraId="669DD198" w14:textId="0967EA0E" w:rsidR="00F74F3C" w:rsidRPr="00F74F3C" w:rsidRDefault="00F223E8" w:rsidP="00F74F3C">
      <w:pPr>
        <w:numPr>
          <w:ilvl w:val="0"/>
          <w:numId w:val="14"/>
        </w:numPr>
        <w:spacing w:after="0"/>
        <w:jc w:val="both"/>
        <w:rPr>
          <w:sz w:val="22"/>
          <w:szCs w:val="22"/>
          <w:lang w:val="en-GB"/>
        </w:rPr>
      </w:pPr>
      <w:r w:rsidRPr="00B971D5">
        <w:rPr>
          <w:b/>
          <w:bCs/>
          <w:sz w:val="22"/>
          <w:szCs w:val="22"/>
          <w:lang w:val="en-US"/>
        </w:rPr>
        <w:t>Familiariz</w:t>
      </w:r>
      <w:r w:rsidR="00B971D5" w:rsidRPr="00B971D5">
        <w:rPr>
          <w:b/>
          <w:bCs/>
          <w:sz w:val="22"/>
          <w:szCs w:val="22"/>
          <w:lang w:val="en-US"/>
        </w:rPr>
        <w:t>ation</w:t>
      </w:r>
      <w:r>
        <w:rPr>
          <w:sz w:val="22"/>
          <w:szCs w:val="22"/>
          <w:lang w:val="en-US"/>
        </w:rPr>
        <w:t xml:space="preserve"> with the background documents, files and other materials provided by the IDH Landscape team </w:t>
      </w:r>
      <w:r w:rsidR="00F74F3C">
        <w:rPr>
          <w:sz w:val="22"/>
          <w:szCs w:val="22"/>
          <w:lang w:val="en-US"/>
        </w:rPr>
        <w:t>such as, but not limited to:</w:t>
      </w:r>
    </w:p>
    <w:p w14:paraId="49F131CB" w14:textId="6330ACFA" w:rsidR="00F74F3C" w:rsidRDefault="002644BB" w:rsidP="00F74F3C">
      <w:pPr>
        <w:numPr>
          <w:ilvl w:val="1"/>
          <w:numId w:val="4"/>
        </w:numPr>
        <w:spacing w:after="0"/>
        <w:jc w:val="both"/>
        <w:rPr>
          <w:rFonts w:eastAsia="Calibri"/>
          <w:color w:val="00615F" w:themeColor="accent1"/>
          <w:sz w:val="22"/>
          <w:szCs w:val="22"/>
          <w:lang w:val="en-US"/>
        </w:rPr>
      </w:pPr>
      <w:r>
        <w:rPr>
          <w:rFonts w:eastAsia="Calibri"/>
          <w:color w:val="00615F" w:themeColor="accent1"/>
          <w:sz w:val="22"/>
          <w:szCs w:val="22"/>
          <w:lang w:val="en-US"/>
        </w:rPr>
        <w:t>Relevant</w:t>
      </w:r>
      <w:r w:rsidR="00F74F3C" w:rsidRPr="75780697">
        <w:rPr>
          <w:rFonts w:eastAsia="Calibri"/>
          <w:color w:val="00615F" w:themeColor="accent1"/>
          <w:sz w:val="22"/>
          <w:szCs w:val="22"/>
          <w:lang w:val="en-US"/>
        </w:rPr>
        <w:t xml:space="preserve"> project </w:t>
      </w:r>
      <w:r w:rsidR="00F74F3C">
        <w:rPr>
          <w:rFonts w:eastAsia="Calibri"/>
          <w:color w:val="00615F" w:themeColor="accent1"/>
          <w:sz w:val="22"/>
          <w:szCs w:val="22"/>
          <w:lang w:val="en-US"/>
        </w:rPr>
        <w:t xml:space="preserve">documents, </w:t>
      </w:r>
      <w:r w:rsidR="00F74F3C" w:rsidRPr="75780697">
        <w:rPr>
          <w:rFonts w:eastAsia="Calibri"/>
          <w:color w:val="00615F" w:themeColor="accent1"/>
          <w:sz w:val="22"/>
          <w:szCs w:val="22"/>
          <w:lang w:val="en-US"/>
        </w:rPr>
        <w:t>reports</w:t>
      </w:r>
      <w:r w:rsidR="00F74F3C">
        <w:rPr>
          <w:rFonts w:eastAsia="Calibri"/>
          <w:color w:val="00615F" w:themeColor="accent1"/>
          <w:sz w:val="22"/>
          <w:szCs w:val="22"/>
          <w:lang w:val="en-US"/>
        </w:rPr>
        <w:t>, data sets and other materials</w:t>
      </w:r>
      <w:r w:rsidR="00F74F3C" w:rsidRPr="75780697">
        <w:rPr>
          <w:rFonts w:eastAsia="Calibri"/>
          <w:color w:val="00615F" w:themeColor="accent1"/>
          <w:sz w:val="22"/>
          <w:szCs w:val="22"/>
          <w:lang w:val="en-US"/>
        </w:rPr>
        <w:t>;</w:t>
      </w:r>
    </w:p>
    <w:p w14:paraId="45100D57" w14:textId="095576AF" w:rsidR="00F74F3C" w:rsidRDefault="00C331D1" w:rsidP="00F74F3C">
      <w:pPr>
        <w:numPr>
          <w:ilvl w:val="1"/>
          <w:numId w:val="4"/>
        </w:numPr>
        <w:spacing w:after="0"/>
        <w:jc w:val="both"/>
        <w:rPr>
          <w:rFonts w:eastAsia="Calibri"/>
          <w:color w:val="00615F" w:themeColor="accent1"/>
          <w:sz w:val="22"/>
          <w:szCs w:val="22"/>
          <w:lang w:val="en-US"/>
        </w:rPr>
      </w:pPr>
      <w:r w:rsidRPr="75780697">
        <w:rPr>
          <w:rFonts w:eastAsia="Calibri"/>
          <w:color w:val="00615F" w:themeColor="accent1"/>
          <w:sz w:val="22"/>
          <w:szCs w:val="22"/>
          <w:lang w:val="en-US"/>
        </w:rPr>
        <w:t xml:space="preserve">Relevant </w:t>
      </w:r>
      <w:r>
        <w:rPr>
          <w:rFonts w:eastAsia="Calibri"/>
          <w:color w:val="00615F" w:themeColor="accent1"/>
          <w:sz w:val="22"/>
          <w:szCs w:val="22"/>
          <w:lang w:val="en-US"/>
        </w:rPr>
        <w:t>p</w:t>
      </w:r>
      <w:r w:rsidR="00F74F3C" w:rsidRPr="75780697">
        <w:rPr>
          <w:rFonts w:eastAsia="Calibri"/>
          <w:color w:val="00615F" w:themeColor="accent1"/>
          <w:sz w:val="22"/>
          <w:szCs w:val="22"/>
          <w:lang w:val="en-US"/>
        </w:rPr>
        <w:t>revious learning and publications;</w:t>
      </w:r>
    </w:p>
    <w:p w14:paraId="2DFCA410" w14:textId="62C15FE4" w:rsidR="00B971D5" w:rsidRPr="00563D38" w:rsidRDefault="00F74F3C" w:rsidP="00F74F3C">
      <w:pPr>
        <w:numPr>
          <w:ilvl w:val="1"/>
          <w:numId w:val="4"/>
        </w:numPr>
        <w:jc w:val="both"/>
        <w:rPr>
          <w:rFonts w:eastAsia="Calibri"/>
          <w:color w:val="00615F" w:themeColor="accent1"/>
          <w:sz w:val="22"/>
          <w:szCs w:val="22"/>
          <w:lang w:val="en-US"/>
        </w:rPr>
      </w:pPr>
      <w:r w:rsidRPr="75780697">
        <w:rPr>
          <w:rFonts w:eastAsia="Calibri"/>
          <w:color w:val="00615F" w:themeColor="accent1"/>
          <w:sz w:val="22"/>
          <w:szCs w:val="22"/>
          <w:lang w:val="en-US"/>
        </w:rPr>
        <w:t xml:space="preserve">Relevant open data and </w:t>
      </w:r>
      <w:r>
        <w:rPr>
          <w:rFonts w:eastAsia="Calibri"/>
          <w:color w:val="00615F" w:themeColor="accent1"/>
          <w:sz w:val="22"/>
          <w:szCs w:val="22"/>
          <w:lang w:val="en-US"/>
        </w:rPr>
        <w:t xml:space="preserve">other </w:t>
      </w:r>
      <w:r w:rsidRPr="75780697">
        <w:rPr>
          <w:rFonts w:eastAsia="Calibri"/>
          <w:color w:val="00615F" w:themeColor="accent1"/>
          <w:sz w:val="22"/>
          <w:szCs w:val="22"/>
          <w:lang w:val="en-US"/>
        </w:rPr>
        <w:t>resources</w:t>
      </w:r>
      <w:r w:rsidR="00F223E8" w:rsidRPr="00F74F3C">
        <w:rPr>
          <w:sz w:val="22"/>
          <w:szCs w:val="22"/>
          <w:lang w:val="en-US"/>
        </w:rPr>
        <w:t>;</w:t>
      </w:r>
      <w:r w:rsidR="002A5100">
        <w:rPr>
          <w:sz w:val="22"/>
          <w:szCs w:val="22"/>
          <w:lang w:val="en-US"/>
        </w:rPr>
        <w:t xml:space="preserve"> </w:t>
      </w:r>
    </w:p>
    <w:p w14:paraId="627B7F49" w14:textId="2FF3DE9C" w:rsidR="00DB4C0D" w:rsidRDefault="00B971D5" w:rsidP="00DB4C0D">
      <w:pPr>
        <w:numPr>
          <w:ilvl w:val="0"/>
          <w:numId w:val="14"/>
        </w:numPr>
        <w:spacing w:after="0"/>
        <w:jc w:val="both"/>
        <w:rPr>
          <w:sz w:val="22"/>
          <w:szCs w:val="22"/>
          <w:lang w:val="en-US"/>
        </w:rPr>
      </w:pPr>
      <w:r w:rsidRPr="00B971D5">
        <w:rPr>
          <w:b/>
          <w:bCs/>
          <w:sz w:val="22"/>
          <w:szCs w:val="22"/>
          <w:lang w:val="en-US"/>
        </w:rPr>
        <w:t>Inception meeting</w:t>
      </w:r>
      <w:r>
        <w:rPr>
          <w:sz w:val="22"/>
          <w:szCs w:val="22"/>
          <w:lang w:val="en-US"/>
        </w:rPr>
        <w:t xml:space="preserve"> with the IDH Landscape Finance Team</w:t>
      </w:r>
      <w:r w:rsidR="00DB4C0D">
        <w:rPr>
          <w:sz w:val="22"/>
          <w:szCs w:val="22"/>
          <w:lang w:val="en-US"/>
        </w:rPr>
        <w:t>:</w:t>
      </w:r>
    </w:p>
    <w:p w14:paraId="413B68B8" w14:textId="597CA8A4" w:rsidR="00A759E2" w:rsidRPr="00A759E2" w:rsidRDefault="00DB4C0D" w:rsidP="00A759E2">
      <w:pPr>
        <w:numPr>
          <w:ilvl w:val="1"/>
          <w:numId w:val="14"/>
        </w:numPr>
        <w:spacing w:after="0"/>
        <w:jc w:val="both"/>
        <w:rPr>
          <w:sz w:val="22"/>
          <w:szCs w:val="22"/>
          <w:lang w:val="en-US"/>
        </w:rPr>
      </w:pPr>
      <w:r w:rsidRPr="001F1C3C">
        <w:rPr>
          <w:sz w:val="22"/>
          <w:szCs w:val="22"/>
          <w:lang w:val="en-US"/>
        </w:rPr>
        <w:t>to</w:t>
      </w:r>
      <w:r w:rsidR="00B971D5" w:rsidRPr="001F1C3C">
        <w:rPr>
          <w:sz w:val="22"/>
          <w:szCs w:val="22"/>
          <w:lang w:val="en-US"/>
        </w:rPr>
        <w:t xml:space="preserve"> </w:t>
      </w:r>
      <w:r w:rsidRPr="001F1C3C">
        <w:rPr>
          <w:sz w:val="22"/>
          <w:szCs w:val="22"/>
          <w:lang w:val="en-GB"/>
        </w:rPr>
        <w:t>finalize selection of</w:t>
      </w:r>
      <w:r w:rsidR="00C87E38" w:rsidRPr="001F1C3C">
        <w:rPr>
          <w:sz w:val="22"/>
          <w:szCs w:val="22"/>
          <w:lang w:val="en-GB"/>
        </w:rPr>
        <w:t xml:space="preserve"> deliverables</w:t>
      </w:r>
      <w:r w:rsidR="0096433D">
        <w:rPr>
          <w:sz w:val="22"/>
          <w:szCs w:val="22"/>
          <w:lang w:val="en-GB"/>
        </w:rPr>
        <w:t>;</w:t>
      </w:r>
      <w:r w:rsidR="001F1C3C" w:rsidRPr="001F1C3C">
        <w:rPr>
          <w:sz w:val="22"/>
          <w:szCs w:val="22"/>
          <w:lang w:val="en-GB"/>
        </w:rPr>
        <w:t xml:space="preserve"> </w:t>
      </w:r>
    </w:p>
    <w:p w14:paraId="0D701179" w14:textId="1E5E8C59" w:rsidR="00DB4C0D" w:rsidRPr="00DB4C0D" w:rsidRDefault="00C87E38" w:rsidP="00DB4C0D">
      <w:pPr>
        <w:numPr>
          <w:ilvl w:val="1"/>
          <w:numId w:val="14"/>
        </w:numPr>
        <w:spacing w:after="0"/>
        <w:jc w:val="both"/>
        <w:rPr>
          <w:sz w:val="22"/>
          <w:szCs w:val="22"/>
          <w:lang w:val="en-US"/>
        </w:rPr>
      </w:pPr>
      <w:r>
        <w:rPr>
          <w:sz w:val="22"/>
          <w:szCs w:val="22"/>
          <w:lang w:val="en-GB"/>
        </w:rPr>
        <w:t xml:space="preserve">to align expectations in the </w:t>
      </w:r>
      <w:r w:rsidR="001F1C3C">
        <w:rPr>
          <w:sz w:val="22"/>
          <w:szCs w:val="22"/>
          <w:lang w:val="en-GB"/>
        </w:rPr>
        <w:t>timeframe</w:t>
      </w:r>
      <w:r>
        <w:rPr>
          <w:sz w:val="22"/>
          <w:szCs w:val="22"/>
          <w:lang w:val="en-GB"/>
        </w:rPr>
        <w:t xml:space="preserve">, </w:t>
      </w:r>
      <w:r w:rsidR="00DB4C0D">
        <w:rPr>
          <w:sz w:val="22"/>
          <w:szCs w:val="22"/>
          <w:lang w:val="en-GB"/>
        </w:rPr>
        <w:t>and;</w:t>
      </w:r>
    </w:p>
    <w:p w14:paraId="46F08D86" w14:textId="4076D0D7" w:rsidR="00B971D5" w:rsidRPr="00B971D5" w:rsidRDefault="00DB4C0D" w:rsidP="00DB4C0D">
      <w:pPr>
        <w:numPr>
          <w:ilvl w:val="1"/>
          <w:numId w:val="14"/>
        </w:numPr>
        <w:jc w:val="both"/>
        <w:rPr>
          <w:sz w:val="22"/>
          <w:szCs w:val="22"/>
          <w:lang w:val="en-US"/>
        </w:rPr>
      </w:pPr>
      <w:r>
        <w:rPr>
          <w:sz w:val="22"/>
          <w:szCs w:val="22"/>
          <w:lang w:val="en-US"/>
        </w:rPr>
        <w:t xml:space="preserve">to make a preliminary assessment of </w:t>
      </w:r>
      <w:r w:rsidR="00B971D5">
        <w:rPr>
          <w:sz w:val="22"/>
          <w:szCs w:val="22"/>
          <w:lang w:val="en-GB"/>
        </w:rPr>
        <w:t>t</w:t>
      </w:r>
      <w:r>
        <w:rPr>
          <w:sz w:val="22"/>
          <w:szCs w:val="22"/>
          <w:lang w:val="en-GB"/>
        </w:rPr>
        <w:t>he need for</w:t>
      </w:r>
      <w:r w:rsidR="00B971D5">
        <w:rPr>
          <w:sz w:val="22"/>
          <w:szCs w:val="22"/>
          <w:lang w:val="en-GB"/>
        </w:rPr>
        <w:t xml:space="preserve"> additional data, sources, contacts, etc to complete the assignment.</w:t>
      </w:r>
    </w:p>
    <w:p w14:paraId="3DAD7BFC" w14:textId="3124804D" w:rsidR="005656C2" w:rsidRPr="005656C2" w:rsidRDefault="003B46F4" w:rsidP="005656C2">
      <w:pPr>
        <w:numPr>
          <w:ilvl w:val="0"/>
          <w:numId w:val="14"/>
        </w:numPr>
        <w:spacing w:after="0"/>
        <w:jc w:val="both"/>
        <w:rPr>
          <w:rFonts w:eastAsia="Calibri"/>
          <w:color w:val="00615F" w:themeColor="accent1"/>
          <w:sz w:val="22"/>
          <w:szCs w:val="22"/>
          <w:lang w:val="en-US"/>
        </w:rPr>
      </w:pPr>
      <w:r w:rsidRPr="005656C2">
        <w:rPr>
          <w:b/>
          <w:bCs/>
          <w:sz w:val="22"/>
          <w:szCs w:val="22"/>
          <w:lang w:val="en-US"/>
        </w:rPr>
        <w:t>Regular check-in calls</w:t>
      </w:r>
      <w:r w:rsidR="005656C2" w:rsidRPr="005656C2">
        <w:rPr>
          <w:b/>
          <w:bCs/>
          <w:sz w:val="22"/>
          <w:szCs w:val="22"/>
          <w:lang w:val="en-US"/>
        </w:rPr>
        <w:t>/</w:t>
      </w:r>
      <w:r w:rsidR="005656C2" w:rsidRPr="005656C2">
        <w:rPr>
          <w:rFonts w:eastAsia="Calibri"/>
          <w:b/>
          <w:bCs/>
          <w:color w:val="00615F" w:themeColor="accent1"/>
          <w:sz w:val="22"/>
          <w:szCs w:val="22"/>
          <w:lang w:val="en-US"/>
        </w:rPr>
        <w:t>working sessions</w:t>
      </w:r>
      <w:r w:rsidRPr="005656C2">
        <w:rPr>
          <w:sz w:val="22"/>
          <w:szCs w:val="22"/>
          <w:lang w:val="en-US"/>
        </w:rPr>
        <w:t xml:space="preserve"> to</w:t>
      </w:r>
      <w:r w:rsidR="005656C2">
        <w:rPr>
          <w:sz w:val="22"/>
          <w:szCs w:val="22"/>
          <w:lang w:val="en-US"/>
        </w:rPr>
        <w:t>:</w:t>
      </w:r>
    </w:p>
    <w:p w14:paraId="0C89A8E4" w14:textId="77777777" w:rsidR="005656C2" w:rsidRPr="005656C2" w:rsidRDefault="005656C2" w:rsidP="005656C2">
      <w:pPr>
        <w:numPr>
          <w:ilvl w:val="1"/>
          <w:numId w:val="14"/>
        </w:numPr>
        <w:spacing w:after="0"/>
        <w:jc w:val="both"/>
        <w:rPr>
          <w:rFonts w:eastAsia="Calibri"/>
          <w:color w:val="00615F" w:themeColor="accent1"/>
          <w:sz w:val="22"/>
          <w:szCs w:val="22"/>
          <w:lang w:val="en-US"/>
        </w:rPr>
      </w:pPr>
      <w:r>
        <w:rPr>
          <w:sz w:val="22"/>
          <w:szCs w:val="22"/>
          <w:lang w:val="en-US"/>
        </w:rPr>
        <w:t xml:space="preserve">initially </w:t>
      </w:r>
      <w:r w:rsidRPr="005656C2">
        <w:rPr>
          <w:sz w:val="22"/>
          <w:szCs w:val="22"/>
          <w:lang w:val="en-US"/>
        </w:rPr>
        <w:t>finalize</w:t>
      </w:r>
      <w:r w:rsidR="00F223E8" w:rsidRPr="005656C2">
        <w:rPr>
          <w:sz w:val="22"/>
          <w:szCs w:val="22"/>
          <w:lang w:val="en-US"/>
        </w:rPr>
        <w:t xml:space="preserve"> </w:t>
      </w:r>
      <w:r w:rsidR="00F223E8" w:rsidRPr="005656C2">
        <w:rPr>
          <w:sz w:val="22"/>
          <w:szCs w:val="22"/>
          <w:lang w:val="en-GB"/>
        </w:rPr>
        <w:t>methodolog</w:t>
      </w:r>
      <w:r w:rsidRPr="005656C2">
        <w:rPr>
          <w:sz w:val="22"/>
          <w:szCs w:val="22"/>
          <w:lang w:val="en-GB"/>
        </w:rPr>
        <w:t>ies</w:t>
      </w:r>
      <w:r w:rsidR="00F223E8" w:rsidRPr="005656C2">
        <w:rPr>
          <w:sz w:val="22"/>
          <w:szCs w:val="22"/>
          <w:lang w:val="en-US"/>
        </w:rPr>
        <w:t xml:space="preserve"> to develop each of the</w:t>
      </w:r>
      <w:r w:rsidRPr="005656C2">
        <w:rPr>
          <w:sz w:val="22"/>
          <w:szCs w:val="22"/>
          <w:lang w:val="en-US"/>
        </w:rPr>
        <w:t xml:space="preserve"> deliverables and</w:t>
      </w:r>
      <w:r>
        <w:rPr>
          <w:sz w:val="22"/>
          <w:szCs w:val="22"/>
          <w:lang w:val="en-US"/>
        </w:rPr>
        <w:t>;</w:t>
      </w:r>
    </w:p>
    <w:p w14:paraId="40FB8AD8" w14:textId="7718FCEC" w:rsidR="005656C2" w:rsidRDefault="005656C2" w:rsidP="005656C2">
      <w:pPr>
        <w:numPr>
          <w:ilvl w:val="1"/>
          <w:numId w:val="14"/>
        </w:numPr>
        <w:spacing w:after="0"/>
        <w:jc w:val="both"/>
        <w:rPr>
          <w:rFonts w:eastAsia="Calibri"/>
          <w:color w:val="00615F" w:themeColor="accent1"/>
          <w:sz w:val="22"/>
          <w:szCs w:val="22"/>
          <w:lang w:val="en-US"/>
        </w:rPr>
      </w:pPr>
      <w:r w:rsidRPr="005656C2">
        <w:rPr>
          <w:sz w:val="22"/>
          <w:szCs w:val="22"/>
          <w:lang w:val="en-US"/>
        </w:rPr>
        <w:t>collaborate with the Landscape Finance team on</w:t>
      </w:r>
      <w:r>
        <w:rPr>
          <w:sz w:val="22"/>
          <w:szCs w:val="22"/>
          <w:lang w:val="en-US"/>
        </w:rPr>
        <w:t xml:space="preserve"> a</w:t>
      </w:r>
      <w:r w:rsidR="00F223E8" w:rsidRPr="005656C2">
        <w:rPr>
          <w:rFonts w:eastAsia="Calibri"/>
          <w:color w:val="00615F" w:themeColor="accent1"/>
          <w:sz w:val="22"/>
          <w:szCs w:val="22"/>
          <w:lang w:val="en-US"/>
        </w:rPr>
        <w:t xml:space="preserve"> comprehensive understanding of the learnings and insights </w:t>
      </w:r>
      <w:r w:rsidR="00546A4E">
        <w:rPr>
          <w:rFonts w:eastAsia="Calibri"/>
          <w:color w:val="00615F" w:themeColor="accent1"/>
          <w:sz w:val="22"/>
          <w:szCs w:val="22"/>
          <w:lang w:val="en-US"/>
        </w:rPr>
        <w:t xml:space="preserve">from the </w:t>
      </w:r>
      <w:r w:rsidR="00F223E8" w:rsidRPr="005656C2">
        <w:rPr>
          <w:rFonts w:eastAsia="Calibri"/>
          <w:color w:val="00615F" w:themeColor="accent1"/>
          <w:sz w:val="22"/>
          <w:szCs w:val="22"/>
          <w:lang w:val="en-US"/>
        </w:rPr>
        <w:t>LDN TAF</w:t>
      </w:r>
      <w:r w:rsidR="00546A4E">
        <w:rPr>
          <w:rFonts w:eastAsia="Calibri"/>
          <w:color w:val="00615F" w:themeColor="accent1"/>
          <w:sz w:val="22"/>
          <w:szCs w:val="22"/>
          <w:lang w:val="en-US"/>
        </w:rPr>
        <w:t xml:space="preserve"> operations</w:t>
      </w:r>
      <w:r w:rsidR="00F223E8" w:rsidRPr="005656C2">
        <w:rPr>
          <w:rFonts w:eastAsia="Calibri"/>
          <w:color w:val="00615F" w:themeColor="accent1"/>
          <w:sz w:val="22"/>
          <w:szCs w:val="22"/>
          <w:lang w:val="en-US"/>
        </w:rPr>
        <w:t>;</w:t>
      </w:r>
    </w:p>
    <w:p w14:paraId="36AA4B14" w14:textId="59BE1F3E" w:rsidR="00F74F3C" w:rsidRPr="00F74F3C" w:rsidRDefault="005656C2" w:rsidP="00F74F3C">
      <w:pPr>
        <w:numPr>
          <w:ilvl w:val="1"/>
          <w:numId w:val="14"/>
        </w:numPr>
        <w:jc w:val="both"/>
        <w:rPr>
          <w:rFonts w:eastAsia="Calibri"/>
          <w:color w:val="00615F" w:themeColor="accent1"/>
          <w:sz w:val="22"/>
          <w:szCs w:val="22"/>
          <w:lang w:val="en-US"/>
        </w:rPr>
      </w:pPr>
      <w:r>
        <w:rPr>
          <w:rFonts w:eastAsia="Calibri"/>
          <w:color w:val="00615F" w:themeColor="accent1"/>
          <w:sz w:val="22"/>
          <w:szCs w:val="22"/>
          <w:lang w:val="en-US"/>
        </w:rPr>
        <w:t>w</w:t>
      </w:r>
      <w:r w:rsidR="00F223E8" w:rsidRPr="005656C2">
        <w:rPr>
          <w:rFonts w:eastAsia="Calibri"/>
          <w:color w:val="00615F" w:themeColor="accent1"/>
          <w:sz w:val="22"/>
          <w:szCs w:val="22"/>
          <w:lang w:val="en-US"/>
        </w:rPr>
        <w:t xml:space="preserve">ork independently </w:t>
      </w:r>
      <w:r>
        <w:rPr>
          <w:rFonts w:eastAsia="Calibri"/>
          <w:color w:val="00615F" w:themeColor="accent1"/>
          <w:sz w:val="22"/>
          <w:szCs w:val="22"/>
          <w:lang w:val="en-US"/>
        </w:rPr>
        <w:t>while</w:t>
      </w:r>
      <w:r w:rsidR="00F223E8" w:rsidRPr="005656C2">
        <w:rPr>
          <w:rFonts w:eastAsia="Calibri"/>
          <w:color w:val="00615F" w:themeColor="accent1"/>
          <w:sz w:val="22"/>
          <w:szCs w:val="22"/>
          <w:lang w:val="en-US"/>
        </w:rPr>
        <w:t xml:space="preserve"> utilizing the working sessions and </w:t>
      </w:r>
      <w:r>
        <w:rPr>
          <w:rFonts w:eastAsia="Calibri"/>
          <w:color w:val="00615F" w:themeColor="accent1"/>
          <w:sz w:val="22"/>
          <w:szCs w:val="22"/>
          <w:lang w:val="en-US"/>
        </w:rPr>
        <w:t>input/</w:t>
      </w:r>
      <w:r w:rsidR="00F223E8" w:rsidRPr="005656C2">
        <w:rPr>
          <w:rFonts w:eastAsia="Calibri"/>
          <w:color w:val="00615F" w:themeColor="accent1"/>
          <w:sz w:val="22"/>
          <w:szCs w:val="22"/>
          <w:lang w:val="en-US"/>
        </w:rPr>
        <w:t xml:space="preserve"> documentations provided by the team;</w:t>
      </w:r>
    </w:p>
    <w:p w14:paraId="41C3B447" w14:textId="48D324CF" w:rsidR="001D7FD0" w:rsidRPr="001D7FD0" w:rsidRDefault="001D7FD0" w:rsidP="00F74F3C">
      <w:pPr>
        <w:numPr>
          <w:ilvl w:val="0"/>
          <w:numId w:val="14"/>
        </w:numPr>
        <w:spacing w:after="0"/>
        <w:jc w:val="both"/>
        <w:rPr>
          <w:rFonts w:eastAsia="Calibri"/>
          <w:color w:val="00615F" w:themeColor="accent1"/>
          <w:sz w:val="22"/>
          <w:szCs w:val="22"/>
          <w:lang w:val="en-US"/>
        </w:rPr>
      </w:pPr>
      <w:r>
        <w:rPr>
          <w:rFonts w:eastAsia="Calibri"/>
          <w:b/>
          <w:bCs/>
          <w:color w:val="00615F" w:themeColor="accent1"/>
          <w:sz w:val="22"/>
          <w:szCs w:val="22"/>
          <w:lang w:val="en-US"/>
        </w:rPr>
        <w:t>Collect and u</w:t>
      </w:r>
      <w:r w:rsidR="00F74F3C" w:rsidRPr="00F74F3C">
        <w:rPr>
          <w:rFonts w:eastAsia="Calibri"/>
          <w:b/>
          <w:bCs/>
          <w:color w:val="00615F" w:themeColor="accent1"/>
          <w:sz w:val="22"/>
          <w:szCs w:val="22"/>
          <w:lang w:val="en-US"/>
        </w:rPr>
        <w:t>tilize</w:t>
      </w:r>
      <w:r>
        <w:rPr>
          <w:rFonts w:eastAsia="Calibri"/>
          <w:b/>
          <w:bCs/>
          <w:color w:val="00615F" w:themeColor="accent1"/>
          <w:sz w:val="22"/>
          <w:szCs w:val="22"/>
          <w:lang w:val="en-US"/>
        </w:rPr>
        <w:t>:</w:t>
      </w:r>
      <w:r w:rsidR="00F74F3C" w:rsidRPr="00F74F3C">
        <w:rPr>
          <w:rFonts w:eastAsia="Calibri"/>
          <w:b/>
          <w:bCs/>
          <w:color w:val="00615F" w:themeColor="accent1"/>
          <w:sz w:val="22"/>
          <w:szCs w:val="22"/>
          <w:lang w:val="en-US"/>
        </w:rPr>
        <w:t xml:space="preserve"> </w:t>
      </w:r>
    </w:p>
    <w:p w14:paraId="3D44429B" w14:textId="438E363E" w:rsidR="00F74F3C" w:rsidRDefault="00F74F3C" w:rsidP="001D7FD0">
      <w:pPr>
        <w:pStyle w:val="ListParagraph"/>
        <w:numPr>
          <w:ilvl w:val="1"/>
          <w:numId w:val="14"/>
        </w:numPr>
        <w:spacing w:after="0"/>
        <w:jc w:val="both"/>
        <w:rPr>
          <w:rFonts w:ascii="Tablet Gothic" w:eastAsia="Calibri" w:hAnsi="Tablet Gothic"/>
          <w:color w:val="00615F" w:themeColor="accent1"/>
          <w:lang w:val="en-US"/>
        </w:rPr>
      </w:pPr>
      <w:r w:rsidRPr="001D7FD0">
        <w:rPr>
          <w:rFonts w:ascii="Tablet Gothic" w:eastAsia="Calibri" w:hAnsi="Tablet Gothic"/>
          <w:b/>
          <w:bCs/>
          <w:color w:val="00615F" w:themeColor="accent1"/>
          <w:lang w:val="en-US"/>
        </w:rPr>
        <w:t>outputs from working sessions</w:t>
      </w:r>
      <w:r w:rsidRPr="001D7FD0">
        <w:rPr>
          <w:rFonts w:ascii="Tablet Gothic" w:eastAsia="Calibri" w:hAnsi="Tablet Gothic"/>
          <w:color w:val="00615F" w:themeColor="accent1"/>
          <w:lang w:val="en-US"/>
        </w:rPr>
        <w:t xml:space="preserve"> with Landscape Finance team or other relevant IDH colleagues;</w:t>
      </w:r>
    </w:p>
    <w:p w14:paraId="00CFA7B5" w14:textId="77777777" w:rsidR="001D7FD0" w:rsidRPr="001D7FD0" w:rsidRDefault="001D7FD0" w:rsidP="001D7FD0">
      <w:pPr>
        <w:pStyle w:val="ListParagraph"/>
        <w:numPr>
          <w:ilvl w:val="1"/>
          <w:numId w:val="14"/>
        </w:numPr>
        <w:spacing w:after="0"/>
        <w:jc w:val="both"/>
        <w:rPr>
          <w:rFonts w:ascii="Tablet Gothic" w:eastAsia="Calibri" w:hAnsi="Tablet Gothic"/>
          <w:color w:val="00615F" w:themeColor="accent1"/>
          <w:lang w:val="en-US"/>
        </w:rPr>
      </w:pPr>
      <w:r w:rsidRPr="001D7FD0">
        <w:rPr>
          <w:rFonts w:ascii="Tablet Gothic" w:eastAsia="Calibri" w:hAnsi="Tablet Gothic"/>
          <w:color w:val="00615F" w:themeColor="accent1"/>
          <w:lang w:val="en-US"/>
        </w:rPr>
        <w:t>Relevant open data and resources;</w:t>
      </w:r>
    </w:p>
    <w:p w14:paraId="4DDAD03E" w14:textId="156FA596" w:rsidR="001D7FD0" w:rsidRPr="001D7FD0" w:rsidRDefault="001D7FD0" w:rsidP="001D7FD0">
      <w:pPr>
        <w:pStyle w:val="ListParagraph"/>
        <w:numPr>
          <w:ilvl w:val="1"/>
          <w:numId w:val="14"/>
        </w:numPr>
        <w:spacing w:after="0"/>
        <w:jc w:val="both"/>
        <w:rPr>
          <w:rFonts w:eastAsia="Calibri"/>
          <w:color w:val="00615F" w:themeColor="accent1"/>
          <w:lang w:val="en-US"/>
        </w:rPr>
      </w:pPr>
      <w:r w:rsidRPr="001D7FD0">
        <w:rPr>
          <w:rFonts w:ascii="Tablet Gothic" w:eastAsia="Calibri" w:hAnsi="Tablet Gothic"/>
          <w:color w:val="00615F" w:themeColor="accent1"/>
          <w:lang w:val="en-US"/>
        </w:rPr>
        <w:t>Interviews with partners and other relevant stakeholders</w:t>
      </w:r>
      <w:r w:rsidRPr="75780697">
        <w:rPr>
          <w:rFonts w:eastAsia="Calibri"/>
          <w:color w:val="00615F" w:themeColor="accent1"/>
          <w:lang w:val="en-US"/>
        </w:rPr>
        <w:t>.</w:t>
      </w:r>
    </w:p>
    <w:p w14:paraId="608D3175" w14:textId="77777777" w:rsidR="00F74F3C" w:rsidRPr="005656C2" w:rsidRDefault="00F74F3C" w:rsidP="00F74F3C">
      <w:pPr>
        <w:spacing w:after="0"/>
        <w:ind w:left="1440"/>
        <w:jc w:val="both"/>
        <w:rPr>
          <w:rFonts w:eastAsia="Calibri"/>
          <w:color w:val="00615F" w:themeColor="accent1"/>
          <w:sz w:val="22"/>
          <w:szCs w:val="22"/>
          <w:lang w:val="en-US"/>
        </w:rPr>
      </w:pPr>
    </w:p>
    <w:p w14:paraId="7929D3A5" w14:textId="5A153D46" w:rsidR="007A59FA" w:rsidRPr="007A59FA" w:rsidRDefault="00F223E8" w:rsidP="00BB2517">
      <w:pPr>
        <w:numPr>
          <w:ilvl w:val="0"/>
          <w:numId w:val="14"/>
        </w:numPr>
        <w:jc w:val="both"/>
        <w:rPr>
          <w:rFonts w:eastAsia="Calibri"/>
          <w:color w:val="00615F" w:themeColor="accent1"/>
          <w:sz w:val="22"/>
          <w:szCs w:val="22"/>
          <w:lang w:val="en-US"/>
        </w:rPr>
      </w:pPr>
      <w:r w:rsidRPr="3D9CF05A">
        <w:rPr>
          <w:rFonts w:eastAsia="Calibri"/>
          <w:b/>
          <w:bCs/>
          <w:color w:val="00615F" w:themeColor="accent1"/>
          <w:sz w:val="22"/>
          <w:szCs w:val="22"/>
          <w:lang w:val="en-US"/>
        </w:rPr>
        <w:t>Develop</w:t>
      </w:r>
      <w:r w:rsidR="00F74F3C" w:rsidRPr="3D9CF05A">
        <w:rPr>
          <w:rFonts w:eastAsia="Calibri"/>
          <w:b/>
          <w:bCs/>
          <w:color w:val="00615F" w:themeColor="accent1"/>
          <w:sz w:val="22"/>
          <w:szCs w:val="22"/>
          <w:lang w:val="en-US"/>
        </w:rPr>
        <w:t xml:space="preserve"> and or draft</w:t>
      </w:r>
      <w:r w:rsidRPr="3D9CF05A">
        <w:rPr>
          <w:rFonts w:eastAsia="Calibri"/>
          <w:b/>
          <w:bCs/>
          <w:color w:val="00615F" w:themeColor="accent1"/>
          <w:sz w:val="22"/>
          <w:szCs w:val="22"/>
          <w:lang w:val="en-US"/>
        </w:rPr>
        <w:t xml:space="preserve"> compelling knowledge products</w:t>
      </w:r>
      <w:r w:rsidR="00AB4121" w:rsidRPr="3D9CF05A">
        <w:rPr>
          <w:rFonts w:eastAsia="Calibri"/>
          <w:b/>
          <w:bCs/>
          <w:color w:val="00615F" w:themeColor="accent1"/>
          <w:sz w:val="22"/>
          <w:szCs w:val="22"/>
          <w:lang w:val="en-US"/>
        </w:rPr>
        <w:t>:</w:t>
      </w:r>
      <w:r w:rsidR="001D7FD0" w:rsidRPr="3D9CF05A">
        <w:rPr>
          <w:rFonts w:eastAsia="Calibri"/>
          <w:color w:val="00615F" w:themeColor="accent1"/>
          <w:sz w:val="22"/>
          <w:szCs w:val="22"/>
          <w:lang w:val="en-US"/>
        </w:rPr>
        <w:t xml:space="preserve"> </w:t>
      </w:r>
      <w:r w:rsidR="007C270D" w:rsidRPr="3D9CF05A">
        <w:rPr>
          <w:rFonts w:eastAsia="Calibri"/>
          <w:color w:val="00615F" w:themeColor="accent1"/>
          <w:sz w:val="22"/>
          <w:szCs w:val="22"/>
          <w:lang w:val="en-US"/>
        </w:rPr>
        <w:t xml:space="preserve">as per agreed </w:t>
      </w:r>
      <w:r w:rsidR="7B7BE754" w:rsidRPr="3D9CF05A">
        <w:rPr>
          <w:rFonts w:eastAsia="Calibri"/>
          <w:color w:val="00615F" w:themeColor="accent1"/>
          <w:sz w:val="22"/>
          <w:szCs w:val="22"/>
          <w:lang w:val="en-US"/>
        </w:rPr>
        <w:t>timeline</w:t>
      </w:r>
      <w:r w:rsidRPr="3D9CF05A">
        <w:rPr>
          <w:sz w:val="22"/>
          <w:szCs w:val="22"/>
          <w:lang w:val="en-GB"/>
        </w:rPr>
        <w:t>.</w:t>
      </w:r>
    </w:p>
    <w:p w14:paraId="24DC5DBB" w14:textId="2D90DEF7" w:rsidR="00E7086C" w:rsidRDefault="00E7086C" w:rsidP="00BB2517">
      <w:pPr>
        <w:jc w:val="both"/>
        <w:rPr>
          <w:sz w:val="22"/>
          <w:szCs w:val="22"/>
          <w:lang w:val="en-GB"/>
        </w:rPr>
      </w:pPr>
      <w:r>
        <w:rPr>
          <w:sz w:val="22"/>
          <w:szCs w:val="22"/>
          <w:u w:val="single"/>
          <w:lang w:val="en-US"/>
        </w:rPr>
        <w:t>Deliverables</w:t>
      </w:r>
      <w:r w:rsidRPr="75780697">
        <w:rPr>
          <w:sz w:val="22"/>
          <w:szCs w:val="22"/>
          <w:lang w:val="en-GB"/>
        </w:rPr>
        <w:t xml:space="preserve"> </w:t>
      </w:r>
    </w:p>
    <w:tbl>
      <w:tblPr>
        <w:tblW w:w="91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300"/>
        <w:gridCol w:w="2800"/>
      </w:tblGrid>
      <w:tr w:rsidR="00BB2517" w:rsidRPr="002502D5" w14:paraId="0CCE9396" w14:textId="77777777" w:rsidTr="1C7D5ED0">
        <w:trPr>
          <w:trHeight w:val="567"/>
        </w:trPr>
        <w:tc>
          <w:tcPr>
            <w:tcW w:w="6300" w:type="dxa"/>
            <w:shd w:val="clear" w:color="auto" w:fill="00615F" w:themeFill="accent1"/>
            <w:noWrap/>
            <w:tcMar>
              <w:top w:w="0" w:type="dxa"/>
              <w:left w:w="70" w:type="dxa"/>
              <w:bottom w:w="0" w:type="dxa"/>
              <w:right w:w="70" w:type="dxa"/>
            </w:tcMar>
            <w:vAlign w:val="center"/>
            <w:hideMark/>
          </w:tcPr>
          <w:p w14:paraId="45AEEFE0" w14:textId="3BF9DEF3" w:rsidR="00BB2517" w:rsidRPr="002502D5" w:rsidRDefault="78BD43B4" w:rsidP="75780697">
            <w:pPr>
              <w:spacing w:after="0"/>
              <w:rPr>
                <w:b/>
                <w:bCs/>
                <w:color w:val="FFFFFF" w:themeColor="background2"/>
                <w:sz w:val="22"/>
                <w:szCs w:val="22"/>
                <w:lang w:val="en-US"/>
              </w:rPr>
            </w:pPr>
            <w:r w:rsidRPr="75780697">
              <w:rPr>
                <w:b/>
                <w:bCs/>
                <w:color w:val="FFFFFF" w:themeColor="background2"/>
                <w:sz w:val="22"/>
                <w:szCs w:val="22"/>
                <w:lang w:val="en-US"/>
              </w:rPr>
              <w:t>D</w:t>
            </w:r>
            <w:r w:rsidR="52D7AF2F" w:rsidRPr="75780697">
              <w:rPr>
                <w:b/>
                <w:bCs/>
                <w:color w:val="FFFFFF" w:themeColor="background2"/>
                <w:sz w:val="22"/>
                <w:szCs w:val="22"/>
                <w:lang w:val="en-US"/>
              </w:rPr>
              <w:t>eliverable</w:t>
            </w:r>
          </w:p>
        </w:tc>
        <w:tc>
          <w:tcPr>
            <w:tcW w:w="2800" w:type="dxa"/>
            <w:shd w:val="clear" w:color="auto" w:fill="00615F" w:themeFill="accent1"/>
            <w:noWrap/>
            <w:tcMar>
              <w:top w:w="0" w:type="dxa"/>
              <w:left w:w="70" w:type="dxa"/>
              <w:bottom w:w="0" w:type="dxa"/>
              <w:right w:w="70" w:type="dxa"/>
            </w:tcMar>
            <w:vAlign w:val="center"/>
          </w:tcPr>
          <w:p w14:paraId="63353F69" w14:textId="77777777" w:rsidR="00BB2517" w:rsidRPr="002502D5" w:rsidRDefault="00BB2517" w:rsidP="006A7CF6">
            <w:pPr>
              <w:spacing w:after="0"/>
              <w:rPr>
                <w:sz w:val="22"/>
                <w:szCs w:val="22"/>
                <w:lang w:val="nl-NL"/>
              </w:rPr>
            </w:pPr>
            <w:r w:rsidRPr="002502D5">
              <w:rPr>
                <w:b/>
                <w:bCs/>
                <w:color w:val="FFFFFF" w:themeColor="background1"/>
                <w:sz w:val="22"/>
                <w:szCs w:val="22"/>
                <w:lang w:val="en-US"/>
              </w:rPr>
              <w:t>Deadline</w:t>
            </w:r>
          </w:p>
        </w:tc>
      </w:tr>
      <w:tr w:rsidR="00A759E2" w:rsidRPr="002502D5" w14:paraId="5150CC88" w14:textId="77777777" w:rsidTr="1C7D5ED0">
        <w:trPr>
          <w:trHeight w:val="567"/>
        </w:trPr>
        <w:tc>
          <w:tcPr>
            <w:tcW w:w="6300" w:type="dxa"/>
            <w:shd w:val="clear" w:color="auto" w:fill="auto"/>
            <w:noWrap/>
            <w:tcMar>
              <w:top w:w="0" w:type="dxa"/>
              <w:left w:w="70" w:type="dxa"/>
              <w:bottom w:w="0" w:type="dxa"/>
              <w:right w:w="70" w:type="dxa"/>
            </w:tcMar>
          </w:tcPr>
          <w:p w14:paraId="378C6723" w14:textId="523B4C98" w:rsidR="00A759E2" w:rsidRDefault="006C5DEF" w:rsidP="00A759E2">
            <w:pPr>
              <w:spacing w:after="0"/>
              <w:rPr>
                <w:sz w:val="22"/>
                <w:szCs w:val="22"/>
                <w:lang w:val="en-GB"/>
              </w:rPr>
            </w:pPr>
            <w:r>
              <w:rPr>
                <w:b/>
                <w:bCs/>
                <w:sz w:val="22"/>
                <w:szCs w:val="22"/>
                <w:lang w:val="en-GB"/>
              </w:rPr>
              <w:t>Timeline</w:t>
            </w:r>
          </w:p>
          <w:p w14:paraId="3EB4EE73" w14:textId="77777777" w:rsidR="00A759E2" w:rsidRPr="005B68E6" w:rsidRDefault="00A759E2" w:rsidP="00A759E2">
            <w:pPr>
              <w:spacing w:after="0"/>
              <w:rPr>
                <w:sz w:val="22"/>
                <w:szCs w:val="22"/>
                <w:lang w:val="en-GB"/>
              </w:rPr>
            </w:pPr>
          </w:p>
          <w:p w14:paraId="18E9A125" w14:textId="41865109" w:rsidR="00A759E2" w:rsidRDefault="00A759E2" w:rsidP="00A759E2">
            <w:pPr>
              <w:spacing w:after="0"/>
              <w:rPr>
                <w:b/>
                <w:bCs/>
                <w:sz w:val="22"/>
                <w:szCs w:val="22"/>
                <w:lang w:val="en-GB"/>
              </w:rPr>
            </w:pPr>
            <w:r w:rsidRPr="75780697">
              <w:rPr>
                <w:sz w:val="22"/>
                <w:szCs w:val="22"/>
                <w:lang w:val="en-GB"/>
              </w:rPr>
              <w:t xml:space="preserve">Deliverable: </w:t>
            </w:r>
            <w:r>
              <w:rPr>
                <w:sz w:val="22"/>
                <w:szCs w:val="22"/>
                <w:lang w:val="en-GB"/>
              </w:rPr>
              <w:t>Gannt/timeline for deliverables</w:t>
            </w:r>
          </w:p>
        </w:tc>
        <w:tc>
          <w:tcPr>
            <w:tcW w:w="2800" w:type="dxa"/>
            <w:shd w:val="clear" w:color="auto" w:fill="auto"/>
            <w:noWrap/>
            <w:tcMar>
              <w:top w:w="0" w:type="dxa"/>
              <w:left w:w="70" w:type="dxa"/>
              <w:bottom w:w="0" w:type="dxa"/>
              <w:right w:w="70" w:type="dxa"/>
            </w:tcMar>
          </w:tcPr>
          <w:p w14:paraId="4AFE2036" w14:textId="3955BEF9" w:rsidR="00A759E2" w:rsidRPr="002502D5" w:rsidRDefault="006C5DEF" w:rsidP="00A759E2">
            <w:pPr>
              <w:spacing w:after="0"/>
              <w:rPr>
                <w:sz w:val="22"/>
                <w:szCs w:val="22"/>
                <w:lang w:val="en-GB"/>
              </w:rPr>
            </w:pPr>
            <w:r>
              <w:rPr>
                <w:sz w:val="22"/>
                <w:szCs w:val="22"/>
                <w:lang w:val="en-GB"/>
              </w:rPr>
              <w:t>Following</w:t>
            </w:r>
            <w:r w:rsidR="00A759E2">
              <w:rPr>
                <w:sz w:val="22"/>
                <w:szCs w:val="22"/>
                <w:lang w:val="en-GB"/>
              </w:rPr>
              <w:t xml:space="preserve"> inception meeting</w:t>
            </w:r>
          </w:p>
          <w:p w14:paraId="55D7C296" w14:textId="77777777" w:rsidR="00A759E2" w:rsidRDefault="00A759E2" w:rsidP="00A759E2">
            <w:pPr>
              <w:spacing w:after="0"/>
              <w:rPr>
                <w:sz w:val="22"/>
                <w:szCs w:val="22"/>
                <w:lang w:val="en-GB"/>
              </w:rPr>
            </w:pPr>
          </w:p>
        </w:tc>
      </w:tr>
      <w:tr w:rsidR="00A759E2" w:rsidRPr="002502D5" w14:paraId="77FC626B" w14:textId="77777777" w:rsidTr="1C7D5ED0">
        <w:trPr>
          <w:trHeight w:val="567"/>
        </w:trPr>
        <w:tc>
          <w:tcPr>
            <w:tcW w:w="6300" w:type="dxa"/>
            <w:shd w:val="clear" w:color="auto" w:fill="auto"/>
            <w:noWrap/>
            <w:tcMar>
              <w:top w:w="0" w:type="dxa"/>
              <w:left w:w="70" w:type="dxa"/>
              <w:bottom w:w="0" w:type="dxa"/>
              <w:right w:w="70" w:type="dxa"/>
            </w:tcMar>
          </w:tcPr>
          <w:p w14:paraId="3299F6FB" w14:textId="613D349D" w:rsidR="00A759E2" w:rsidRDefault="00A759E2" w:rsidP="00A759E2">
            <w:pPr>
              <w:spacing w:after="0"/>
              <w:rPr>
                <w:sz w:val="22"/>
                <w:szCs w:val="22"/>
                <w:lang w:val="en-GB"/>
              </w:rPr>
            </w:pPr>
            <w:r>
              <w:rPr>
                <w:b/>
                <w:bCs/>
                <w:sz w:val="22"/>
                <w:szCs w:val="22"/>
                <w:lang w:val="en-GB"/>
              </w:rPr>
              <w:t>LDN Learning Brief: Gender</w:t>
            </w:r>
          </w:p>
          <w:p w14:paraId="5AD26461" w14:textId="6CD52562" w:rsidR="00A759E2" w:rsidRDefault="00A759E2" w:rsidP="00A759E2">
            <w:pPr>
              <w:spacing w:after="0"/>
              <w:rPr>
                <w:sz w:val="22"/>
                <w:szCs w:val="22"/>
                <w:lang w:val="en-GB"/>
              </w:rPr>
            </w:pPr>
            <w:r>
              <w:rPr>
                <w:sz w:val="22"/>
                <w:szCs w:val="22"/>
                <w:lang w:val="en-GB"/>
              </w:rPr>
              <w:t>See ANNEX 1a Concept note Gender</w:t>
            </w:r>
          </w:p>
          <w:p w14:paraId="2C7C46D9" w14:textId="77777777" w:rsidR="00A759E2" w:rsidRPr="005B68E6" w:rsidRDefault="00A759E2" w:rsidP="00A759E2">
            <w:pPr>
              <w:spacing w:after="0"/>
              <w:rPr>
                <w:sz w:val="22"/>
                <w:szCs w:val="22"/>
                <w:lang w:val="en-GB"/>
              </w:rPr>
            </w:pPr>
          </w:p>
          <w:p w14:paraId="00856407" w14:textId="47F0E7EB" w:rsidR="00A759E2" w:rsidRPr="002502D5" w:rsidRDefault="00A759E2" w:rsidP="00A759E2">
            <w:pPr>
              <w:spacing w:after="0"/>
              <w:rPr>
                <w:sz w:val="22"/>
                <w:szCs w:val="22"/>
                <w:lang w:val="en-GB"/>
              </w:rPr>
            </w:pPr>
            <w:r w:rsidRPr="75780697">
              <w:rPr>
                <w:sz w:val="22"/>
                <w:szCs w:val="22"/>
                <w:lang w:val="en-GB"/>
              </w:rPr>
              <w:t xml:space="preserve">Deliverable: </w:t>
            </w:r>
            <w:r w:rsidRPr="00027E89">
              <w:rPr>
                <w:sz w:val="22"/>
                <w:szCs w:val="22"/>
                <w:lang w:val="en-GB"/>
              </w:rPr>
              <w:t>(</w:t>
            </w:r>
            <w:r>
              <w:rPr>
                <w:sz w:val="22"/>
                <w:szCs w:val="22"/>
                <w:lang w:val="en-GB"/>
              </w:rPr>
              <w:t>15</w:t>
            </w:r>
            <w:r w:rsidRPr="00027E89">
              <w:rPr>
                <w:sz w:val="22"/>
                <w:szCs w:val="22"/>
                <w:lang w:val="en-GB"/>
              </w:rPr>
              <w:t>-</w:t>
            </w:r>
            <w:r>
              <w:rPr>
                <w:sz w:val="22"/>
                <w:szCs w:val="22"/>
                <w:lang w:val="en-GB"/>
              </w:rPr>
              <w:t>20</w:t>
            </w:r>
            <w:r w:rsidRPr="00027E89">
              <w:rPr>
                <w:sz w:val="22"/>
                <w:szCs w:val="22"/>
                <w:lang w:val="en-GB"/>
              </w:rPr>
              <w:t xml:space="preserve"> pages</w:t>
            </w:r>
            <w:r>
              <w:rPr>
                <w:sz w:val="22"/>
                <w:szCs w:val="22"/>
                <w:lang w:val="en-GB"/>
              </w:rPr>
              <w:t>, incl. graphics</w:t>
            </w:r>
            <w:r w:rsidRPr="00027E89">
              <w:rPr>
                <w:sz w:val="22"/>
                <w:szCs w:val="22"/>
                <w:lang w:val="en-GB"/>
              </w:rPr>
              <w:t>)</w:t>
            </w:r>
          </w:p>
        </w:tc>
        <w:tc>
          <w:tcPr>
            <w:tcW w:w="2800" w:type="dxa"/>
            <w:shd w:val="clear" w:color="auto" w:fill="auto"/>
            <w:noWrap/>
            <w:tcMar>
              <w:top w:w="0" w:type="dxa"/>
              <w:left w:w="70" w:type="dxa"/>
              <w:bottom w:w="0" w:type="dxa"/>
              <w:right w:w="70" w:type="dxa"/>
            </w:tcMar>
          </w:tcPr>
          <w:p w14:paraId="3A226E17" w14:textId="5227257D" w:rsidR="00A759E2" w:rsidRPr="002502D5" w:rsidRDefault="00A759E2" w:rsidP="00A759E2">
            <w:pPr>
              <w:spacing w:after="0"/>
              <w:rPr>
                <w:sz w:val="22"/>
                <w:szCs w:val="22"/>
                <w:lang w:val="en-GB"/>
              </w:rPr>
            </w:pPr>
            <w:r>
              <w:rPr>
                <w:sz w:val="22"/>
                <w:szCs w:val="22"/>
                <w:lang w:val="en-GB"/>
              </w:rPr>
              <w:t>Q3 2024</w:t>
            </w:r>
          </w:p>
          <w:p w14:paraId="185B0C87" w14:textId="251A1D9C" w:rsidR="00A759E2" w:rsidRPr="002502D5" w:rsidRDefault="00A759E2" w:rsidP="00A759E2">
            <w:pPr>
              <w:spacing w:after="0"/>
              <w:rPr>
                <w:sz w:val="22"/>
                <w:szCs w:val="22"/>
                <w:lang w:val="en-GB"/>
              </w:rPr>
            </w:pPr>
          </w:p>
        </w:tc>
      </w:tr>
      <w:tr w:rsidR="00A759E2" w:rsidRPr="002502D5" w14:paraId="6C22A2A0" w14:textId="77777777" w:rsidTr="1C7D5ED0">
        <w:trPr>
          <w:trHeight w:val="567"/>
        </w:trPr>
        <w:tc>
          <w:tcPr>
            <w:tcW w:w="6300" w:type="dxa"/>
            <w:shd w:val="clear" w:color="auto" w:fill="auto"/>
            <w:noWrap/>
            <w:tcMar>
              <w:top w:w="0" w:type="dxa"/>
              <w:left w:w="70" w:type="dxa"/>
              <w:bottom w:w="0" w:type="dxa"/>
              <w:right w:w="70" w:type="dxa"/>
            </w:tcMar>
          </w:tcPr>
          <w:p w14:paraId="00E8CF5E" w14:textId="6177D42C" w:rsidR="00A759E2" w:rsidRDefault="00A759E2" w:rsidP="00A759E2">
            <w:pPr>
              <w:spacing w:after="0"/>
              <w:rPr>
                <w:sz w:val="22"/>
                <w:szCs w:val="22"/>
                <w:lang w:val="en-GB"/>
              </w:rPr>
            </w:pPr>
            <w:r>
              <w:rPr>
                <w:b/>
                <w:bCs/>
                <w:sz w:val="22"/>
                <w:szCs w:val="22"/>
                <w:lang w:val="en-GB"/>
              </w:rPr>
              <w:t>LDN Learning Brief: to be decided</w:t>
            </w:r>
          </w:p>
          <w:p w14:paraId="2FEE3DFF" w14:textId="77777777" w:rsidR="00A759E2" w:rsidRPr="005B68E6" w:rsidRDefault="00A759E2" w:rsidP="00A759E2">
            <w:pPr>
              <w:spacing w:after="0"/>
              <w:rPr>
                <w:sz w:val="22"/>
                <w:szCs w:val="22"/>
                <w:lang w:val="en-GB"/>
              </w:rPr>
            </w:pPr>
          </w:p>
          <w:p w14:paraId="61CD1D87" w14:textId="56203E01" w:rsidR="00A759E2" w:rsidRDefault="00A759E2" w:rsidP="00A759E2">
            <w:pPr>
              <w:spacing w:after="0"/>
              <w:rPr>
                <w:sz w:val="22"/>
                <w:szCs w:val="22"/>
                <w:lang w:val="en-GB"/>
              </w:rPr>
            </w:pPr>
            <w:r w:rsidRPr="005B68E6">
              <w:rPr>
                <w:sz w:val="22"/>
                <w:szCs w:val="22"/>
                <w:lang w:val="en-GB"/>
              </w:rPr>
              <w:t xml:space="preserve">Final </w:t>
            </w:r>
            <w:r>
              <w:rPr>
                <w:sz w:val="22"/>
                <w:szCs w:val="22"/>
                <w:lang w:val="en-GB"/>
              </w:rPr>
              <w:t xml:space="preserve">deliverable to be decided in discussion with Landscape Finance team (example of issues on the long list: </w:t>
            </w:r>
            <w:r w:rsidRPr="005B68E6">
              <w:rPr>
                <w:sz w:val="22"/>
                <w:szCs w:val="22"/>
                <w:lang w:val="en-GB"/>
              </w:rPr>
              <w:t xml:space="preserve">Environmental </w:t>
            </w:r>
            <w:r w:rsidRPr="005B68E6">
              <w:rPr>
                <w:sz w:val="22"/>
                <w:szCs w:val="22"/>
                <w:lang w:val="en-GB"/>
              </w:rPr>
              <w:lastRenderedPageBreak/>
              <w:t>and Social Monitoring Systems</w:t>
            </w:r>
            <w:r>
              <w:rPr>
                <w:sz w:val="22"/>
                <w:szCs w:val="22"/>
                <w:lang w:val="en-GB"/>
              </w:rPr>
              <w:t xml:space="preserve"> (ESMS) hurdles, </w:t>
            </w:r>
            <w:r w:rsidR="007A59FA">
              <w:rPr>
                <w:sz w:val="22"/>
                <w:szCs w:val="22"/>
                <w:lang w:val="en-GB"/>
              </w:rPr>
              <w:t>plant-based</w:t>
            </w:r>
            <w:r>
              <w:rPr>
                <w:sz w:val="22"/>
                <w:szCs w:val="22"/>
                <w:lang w:val="en-GB"/>
              </w:rPr>
              <w:t xml:space="preserve"> protein, biodiversity credits, etc.)</w:t>
            </w:r>
          </w:p>
          <w:p w14:paraId="14F29F3C" w14:textId="77777777" w:rsidR="00A759E2" w:rsidRDefault="00A759E2" w:rsidP="00A759E2">
            <w:pPr>
              <w:spacing w:after="0"/>
              <w:rPr>
                <w:sz w:val="22"/>
                <w:szCs w:val="22"/>
                <w:lang w:val="en-GB"/>
              </w:rPr>
            </w:pPr>
          </w:p>
          <w:p w14:paraId="63AC095D" w14:textId="3AD37672" w:rsidR="00A759E2" w:rsidRDefault="00A759E2" w:rsidP="00A759E2">
            <w:pPr>
              <w:spacing w:after="0"/>
              <w:rPr>
                <w:b/>
                <w:bCs/>
                <w:sz w:val="22"/>
                <w:szCs w:val="22"/>
                <w:lang w:val="en-GB"/>
              </w:rPr>
            </w:pPr>
            <w:r w:rsidRPr="75780697">
              <w:rPr>
                <w:sz w:val="22"/>
                <w:szCs w:val="22"/>
                <w:lang w:val="en-GB"/>
              </w:rPr>
              <w:t xml:space="preserve">Deliverable: </w:t>
            </w:r>
            <w:r w:rsidRPr="00027E89">
              <w:rPr>
                <w:sz w:val="22"/>
                <w:szCs w:val="22"/>
                <w:lang w:val="en-GB"/>
              </w:rPr>
              <w:t>(</w:t>
            </w:r>
            <w:r>
              <w:rPr>
                <w:sz w:val="22"/>
                <w:szCs w:val="22"/>
                <w:lang w:val="en-GB"/>
              </w:rPr>
              <w:t>15</w:t>
            </w:r>
            <w:r w:rsidRPr="00027E89">
              <w:rPr>
                <w:sz w:val="22"/>
                <w:szCs w:val="22"/>
                <w:lang w:val="en-GB"/>
              </w:rPr>
              <w:t>-</w:t>
            </w:r>
            <w:r>
              <w:rPr>
                <w:sz w:val="22"/>
                <w:szCs w:val="22"/>
                <w:lang w:val="en-GB"/>
              </w:rPr>
              <w:t>20</w:t>
            </w:r>
            <w:r w:rsidRPr="00027E89">
              <w:rPr>
                <w:sz w:val="22"/>
                <w:szCs w:val="22"/>
                <w:lang w:val="en-GB"/>
              </w:rPr>
              <w:t xml:space="preserve"> pages</w:t>
            </w:r>
            <w:r>
              <w:rPr>
                <w:sz w:val="22"/>
                <w:szCs w:val="22"/>
                <w:lang w:val="en-GB"/>
              </w:rPr>
              <w:t>, incl. graphics</w:t>
            </w:r>
            <w:r w:rsidRPr="00027E89">
              <w:rPr>
                <w:sz w:val="22"/>
                <w:szCs w:val="22"/>
                <w:lang w:val="en-GB"/>
              </w:rPr>
              <w:t>)</w:t>
            </w:r>
          </w:p>
        </w:tc>
        <w:tc>
          <w:tcPr>
            <w:tcW w:w="2800" w:type="dxa"/>
            <w:shd w:val="clear" w:color="auto" w:fill="auto"/>
            <w:noWrap/>
            <w:tcMar>
              <w:top w:w="0" w:type="dxa"/>
              <w:left w:w="70" w:type="dxa"/>
              <w:bottom w:w="0" w:type="dxa"/>
              <w:right w:w="70" w:type="dxa"/>
            </w:tcMar>
          </w:tcPr>
          <w:p w14:paraId="73D46AD2" w14:textId="67DD3827" w:rsidR="00A759E2" w:rsidRPr="002502D5" w:rsidRDefault="00A759E2" w:rsidP="00A759E2">
            <w:pPr>
              <w:spacing w:after="0"/>
              <w:rPr>
                <w:sz w:val="22"/>
                <w:szCs w:val="22"/>
                <w:lang w:val="en-GB"/>
              </w:rPr>
            </w:pPr>
            <w:r>
              <w:rPr>
                <w:sz w:val="22"/>
                <w:szCs w:val="22"/>
                <w:lang w:val="en-GB"/>
              </w:rPr>
              <w:lastRenderedPageBreak/>
              <w:t>Q3 2024</w:t>
            </w:r>
          </w:p>
          <w:p w14:paraId="59F020AE" w14:textId="77777777" w:rsidR="00A759E2" w:rsidRDefault="00A759E2" w:rsidP="00A759E2">
            <w:pPr>
              <w:spacing w:after="0"/>
              <w:rPr>
                <w:sz w:val="22"/>
                <w:szCs w:val="22"/>
                <w:lang w:val="en-GB"/>
              </w:rPr>
            </w:pPr>
          </w:p>
        </w:tc>
      </w:tr>
      <w:tr w:rsidR="00A759E2" w:rsidRPr="002502D5" w14:paraId="30D2A821" w14:textId="77777777" w:rsidTr="1C7D5ED0">
        <w:trPr>
          <w:trHeight w:val="567"/>
        </w:trPr>
        <w:tc>
          <w:tcPr>
            <w:tcW w:w="6300" w:type="dxa"/>
            <w:shd w:val="clear" w:color="auto" w:fill="auto"/>
            <w:noWrap/>
            <w:tcMar>
              <w:top w:w="0" w:type="dxa"/>
              <w:left w:w="70" w:type="dxa"/>
              <w:bottom w:w="0" w:type="dxa"/>
              <w:right w:w="70" w:type="dxa"/>
            </w:tcMar>
          </w:tcPr>
          <w:p w14:paraId="290B3705" w14:textId="7A817EDE" w:rsidR="00A759E2" w:rsidRDefault="00A759E2" w:rsidP="00A759E2">
            <w:pPr>
              <w:spacing w:after="0"/>
              <w:rPr>
                <w:sz w:val="22"/>
                <w:szCs w:val="22"/>
                <w:lang w:val="en-GB"/>
              </w:rPr>
            </w:pPr>
            <w:r>
              <w:rPr>
                <w:b/>
                <w:bCs/>
                <w:sz w:val="22"/>
                <w:szCs w:val="22"/>
                <w:lang w:val="en-GB"/>
              </w:rPr>
              <w:t>LDN Learning Brief: Land Degradation Neutrality methodology</w:t>
            </w:r>
          </w:p>
          <w:p w14:paraId="5650B0CA" w14:textId="77777777" w:rsidR="00A759E2" w:rsidRPr="005B68E6" w:rsidRDefault="00A759E2" w:rsidP="00A759E2">
            <w:pPr>
              <w:spacing w:after="0"/>
              <w:rPr>
                <w:sz w:val="22"/>
                <w:szCs w:val="22"/>
                <w:lang w:val="en-GB"/>
              </w:rPr>
            </w:pPr>
          </w:p>
          <w:p w14:paraId="3A79F5FE" w14:textId="5EBC84E2" w:rsidR="00A759E2" w:rsidRDefault="00A759E2" w:rsidP="00A759E2">
            <w:pPr>
              <w:spacing w:after="0"/>
              <w:rPr>
                <w:sz w:val="22"/>
                <w:szCs w:val="22"/>
                <w:lang w:val="en-GB"/>
              </w:rPr>
            </w:pPr>
            <w:r w:rsidRPr="005B68E6">
              <w:rPr>
                <w:sz w:val="22"/>
                <w:szCs w:val="22"/>
                <w:lang w:val="en-GB"/>
              </w:rPr>
              <w:t xml:space="preserve">Final </w:t>
            </w:r>
            <w:r>
              <w:rPr>
                <w:sz w:val="22"/>
                <w:szCs w:val="22"/>
                <w:lang w:val="en-GB"/>
              </w:rPr>
              <w:t>deliverable to be decided in discussion with Landscape Finance team</w:t>
            </w:r>
          </w:p>
          <w:p w14:paraId="47853CF6" w14:textId="77777777" w:rsidR="00A759E2" w:rsidRDefault="00A759E2" w:rsidP="00A759E2">
            <w:pPr>
              <w:spacing w:after="0"/>
              <w:rPr>
                <w:sz w:val="22"/>
                <w:szCs w:val="22"/>
                <w:lang w:val="en-GB"/>
              </w:rPr>
            </w:pPr>
          </w:p>
          <w:p w14:paraId="2DC667F9" w14:textId="264D58E5" w:rsidR="00A759E2" w:rsidRDefault="00A759E2" w:rsidP="00A759E2">
            <w:pPr>
              <w:spacing w:after="0"/>
              <w:rPr>
                <w:b/>
                <w:bCs/>
                <w:sz w:val="22"/>
                <w:szCs w:val="22"/>
                <w:lang w:val="en-GB"/>
              </w:rPr>
            </w:pPr>
            <w:r w:rsidRPr="75780697">
              <w:rPr>
                <w:sz w:val="22"/>
                <w:szCs w:val="22"/>
                <w:lang w:val="en-GB"/>
              </w:rPr>
              <w:t xml:space="preserve">Deliverable: </w:t>
            </w:r>
            <w:r w:rsidRPr="00027E89">
              <w:rPr>
                <w:sz w:val="22"/>
                <w:szCs w:val="22"/>
                <w:lang w:val="en-GB"/>
              </w:rPr>
              <w:t>(</w:t>
            </w:r>
            <w:r>
              <w:rPr>
                <w:sz w:val="22"/>
                <w:szCs w:val="22"/>
                <w:lang w:val="en-GB"/>
              </w:rPr>
              <w:t>15</w:t>
            </w:r>
            <w:r w:rsidRPr="00027E89">
              <w:rPr>
                <w:sz w:val="22"/>
                <w:szCs w:val="22"/>
                <w:lang w:val="en-GB"/>
              </w:rPr>
              <w:t>-</w:t>
            </w:r>
            <w:r>
              <w:rPr>
                <w:sz w:val="22"/>
                <w:szCs w:val="22"/>
                <w:lang w:val="en-GB"/>
              </w:rPr>
              <w:t>20</w:t>
            </w:r>
            <w:r w:rsidRPr="00027E89">
              <w:rPr>
                <w:sz w:val="22"/>
                <w:szCs w:val="22"/>
                <w:lang w:val="en-GB"/>
              </w:rPr>
              <w:t xml:space="preserve"> pages</w:t>
            </w:r>
            <w:r>
              <w:rPr>
                <w:sz w:val="22"/>
                <w:szCs w:val="22"/>
                <w:lang w:val="en-GB"/>
              </w:rPr>
              <w:t>, incl. graphics</w:t>
            </w:r>
            <w:r w:rsidRPr="00027E89">
              <w:rPr>
                <w:sz w:val="22"/>
                <w:szCs w:val="22"/>
                <w:lang w:val="en-GB"/>
              </w:rPr>
              <w:t>)</w:t>
            </w:r>
          </w:p>
        </w:tc>
        <w:tc>
          <w:tcPr>
            <w:tcW w:w="2800" w:type="dxa"/>
            <w:shd w:val="clear" w:color="auto" w:fill="auto"/>
            <w:noWrap/>
            <w:tcMar>
              <w:top w:w="0" w:type="dxa"/>
              <w:left w:w="70" w:type="dxa"/>
              <w:bottom w:w="0" w:type="dxa"/>
              <w:right w:w="70" w:type="dxa"/>
            </w:tcMar>
          </w:tcPr>
          <w:p w14:paraId="77D6DA31" w14:textId="2B4F8DAB" w:rsidR="00A759E2" w:rsidRPr="002502D5" w:rsidRDefault="00A759E2" w:rsidP="00A759E2">
            <w:pPr>
              <w:spacing w:after="0"/>
              <w:rPr>
                <w:sz w:val="22"/>
                <w:szCs w:val="22"/>
                <w:lang w:val="en-GB"/>
              </w:rPr>
            </w:pPr>
            <w:r>
              <w:rPr>
                <w:sz w:val="22"/>
                <w:szCs w:val="22"/>
                <w:lang w:val="en-GB"/>
              </w:rPr>
              <w:t>Q4 2024</w:t>
            </w:r>
          </w:p>
          <w:p w14:paraId="2F8F8AF5" w14:textId="77777777" w:rsidR="00A759E2" w:rsidRDefault="00A759E2" w:rsidP="00A759E2">
            <w:pPr>
              <w:spacing w:after="0"/>
              <w:rPr>
                <w:sz w:val="22"/>
                <w:szCs w:val="22"/>
                <w:lang w:val="en-GB"/>
              </w:rPr>
            </w:pPr>
          </w:p>
        </w:tc>
      </w:tr>
      <w:tr w:rsidR="00A759E2" w:rsidRPr="002502D5" w14:paraId="026F4F50" w14:textId="77777777" w:rsidTr="1C7D5ED0">
        <w:trPr>
          <w:trHeight w:val="567"/>
        </w:trPr>
        <w:tc>
          <w:tcPr>
            <w:tcW w:w="6300" w:type="dxa"/>
            <w:shd w:val="clear" w:color="auto" w:fill="auto"/>
            <w:noWrap/>
            <w:tcMar>
              <w:top w:w="0" w:type="dxa"/>
              <w:left w:w="70" w:type="dxa"/>
              <w:bottom w:w="0" w:type="dxa"/>
              <w:right w:w="70" w:type="dxa"/>
            </w:tcMar>
          </w:tcPr>
          <w:p w14:paraId="10786E72" w14:textId="7731D7EA" w:rsidR="00A759E2" w:rsidRDefault="00A759E2" w:rsidP="00A759E2">
            <w:pPr>
              <w:spacing w:after="0"/>
              <w:rPr>
                <w:b/>
                <w:bCs/>
                <w:sz w:val="22"/>
                <w:szCs w:val="22"/>
                <w:lang w:val="en-GB"/>
              </w:rPr>
            </w:pPr>
            <w:r>
              <w:rPr>
                <w:b/>
                <w:bCs/>
                <w:sz w:val="22"/>
                <w:szCs w:val="22"/>
                <w:lang w:val="en-GB"/>
              </w:rPr>
              <w:t xml:space="preserve">LDN Learning Brief: </w:t>
            </w:r>
            <w:r w:rsidRPr="006A5EB1">
              <w:rPr>
                <w:b/>
                <w:bCs/>
                <w:sz w:val="22"/>
                <w:szCs w:val="22"/>
                <w:lang w:val="en-GB"/>
              </w:rPr>
              <w:t>Transition to regenerative agriculture:</w:t>
            </w:r>
            <w:r>
              <w:rPr>
                <w:b/>
                <w:bCs/>
                <w:sz w:val="22"/>
                <w:szCs w:val="22"/>
                <w:lang w:val="en-GB"/>
              </w:rPr>
              <w:t xml:space="preserve"> Aggregated learnings from across the LDN Fund portfolio </w:t>
            </w:r>
          </w:p>
          <w:p w14:paraId="57DCE66F" w14:textId="77777777" w:rsidR="00A759E2" w:rsidRDefault="00A759E2" w:rsidP="00A759E2">
            <w:pPr>
              <w:spacing w:after="0"/>
              <w:rPr>
                <w:sz w:val="22"/>
                <w:szCs w:val="22"/>
                <w:lang w:val="en-GB"/>
              </w:rPr>
            </w:pPr>
            <w:r w:rsidRPr="00027E89">
              <w:rPr>
                <w:sz w:val="22"/>
                <w:szCs w:val="22"/>
                <w:lang w:val="en-GB"/>
              </w:rPr>
              <w:t>(</w:t>
            </w:r>
            <w:r>
              <w:rPr>
                <w:sz w:val="22"/>
                <w:szCs w:val="22"/>
                <w:lang w:val="en-GB"/>
              </w:rPr>
              <w:t>20</w:t>
            </w:r>
            <w:r w:rsidRPr="00027E89">
              <w:rPr>
                <w:sz w:val="22"/>
                <w:szCs w:val="22"/>
                <w:lang w:val="en-GB"/>
              </w:rPr>
              <w:t>-</w:t>
            </w:r>
            <w:r>
              <w:rPr>
                <w:sz w:val="22"/>
                <w:szCs w:val="22"/>
                <w:lang w:val="en-GB"/>
              </w:rPr>
              <w:t>40</w:t>
            </w:r>
            <w:r w:rsidRPr="00027E89">
              <w:rPr>
                <w:sz w:val="22"/>
                <w:szCs w:val="22"/>
                <w:lang w:val="en-GB"/>
              </w:rPr>
              <w:t xml:space="preserve"> pages</w:t>
            </w:r>
            <w:r>
              <w:rPr>
                <w:sz w:val="22"/>
                <w:szCs w:val="22"/>
                <w:lang w:val="en-GB"/>
              </w:rPr>
              <w:t>, incl. graphics</w:t>
            </w:r>
            <w:r w:rsidRPr="00027E89">
              <w:rPr>
                <w:sz w:val="22"/>
                <w:szCs w:val="22"/>
                <w:lang w:val="en-GB"/>
              </w:rPr>
              <w:t>)</w:t>
            </w:r>
          </w:p>
          <w:p w14:paraId="5F60CE6D" w14:textId="77777777" w:rsidR="00A759E2" w:rsidRDefault="00A759E2" w:rsidP="00A759E2">
            <w:pPr>
              <w:spacing w:after="0"/>
              <w:rPr>
                <w:sz w:val="22"/>
                <w:szCs w:val="22"/>
                <w:lang w:val="en-GB"/>
              </w:rPr>
            </w:pPr>
          </w:p>
          <w:p w14:paraId="1A623007" w14:textId="56FC68D5" w:rsidR="00A759E2" w:rsidRDefault="00A759E2" w:rsidP="00A759E2">
            <w:pPr>
              <w:spacing w:after="0"/>
              <w:rPr>
                <w:b/>
                <w:bCs/>
                <w:sz w:val="22"/>
                <w:szCs w:val="22"/>
                <w:lang w:val="en-GB"/>
              </w:rPr>
            </w:pPr>
            <w:r>
              <w:rPr>
                <w:sz w:val="22"/>
                <w:szCs w:val="22"/>
                <w:lang w:val="en-GB"/>
              </w:rPr>
              <w:t>Covering various learnings from both portfolio-level, as well as prominent issues at project level. Issues can vary in depth (chapter, section, box, etc). Cases can be used to illustrate. Pushing the recurring narrative how the LDN fund enables the transition to regen-ag and SLM. Conclude on the role of TA and TA Facility in this LDNF context</w:t>
            </w:r>
          </w:p>
        </w:tc>
        <w:tc>
          <w:tcPr>
            <w:tcW w:w="2800" w:type="dxa"/>
            <w:shd w:val="clear" w:color="auto" w:fill="auto"/>
            <w:noWrap/>
            <w:tcMar>
              <w:top w:w="0" w:type="dxa"/>
              <w:left w:w="70" w:type="dxa"/>
              <w:bottom w:w="0" w:type="dxa"/>
              <w:right w:w="70" w:type="dxa"/>
            </w:tcMar>
          </w:tcPr>
          <w:p w14:paraId="77FF87A8" w14:textId="77777777" w:rsidR="00A759E2" w:rsidRPr="002502D5" w:rsidRDefault="00A759E2" w:rsidP="00A759E2">
            <w:pPr>
              <w:spacing w:after="0"/>
              <w:rPr>
                <w:sz w:val="22"/>
                <w:szCs w:val="22"/>
                <w:lang w:val="en-GB"/>
              </w:rPr>
            </w:pPr>
            <w:r>
              <w:rPr>
                <w:sz w:val="22"/>
                <w:szCs w:val="22"/>
                <w:lang w:val="en-GB"/>
              </w:rPr>
              <w:t>Q4 2024</w:t>
            </w:r>
          </w:p>
          <w:p w14:paraId="43D94D17" w14:textId="1C154B89" w:rsidR="00A759E2" w:rsidRPr="75780697" w:rsidRDefault="00A759E2" w:rsidP="00A759E2">
            <w:pPr>
              <w:spacing w:after="0"/>
              <w:rPr>
                <w:sz w:val="22"/>
                <w:szCs w:val="22"/>
                <w:lang w:val="en-GB"/>
              </w:rPr>
            </w:pPr>
          </w:p>
        </w:tc>
      </w:tr>
      <w:tr w:rsidR="00A759E2" w:rsidRPr="002502D5" w14:paraId="653931B2" w14:textId="77777777" w:rsidTr="1C7D5ED0">
        <w:trPr>
          <w:trHeight w:val="567"/>
        </w:trPr>
        <w:tc>
          <w:tcPr>
            <w:tcW w:w="6300" w:type="dxa"/>
            <w:shd w:val="clear" w:color="auto" w:fill="auto"/>
            <w:noWrap/>
            <w:tcMar>
              <w:top w:w="0" w:type="dxa"/>
              <w:left w:w="70" w:type="dxa"/>
              <w:bottom w:w="0" w:type="dxa"/>
              <w:right w:w="70" w:type="dxa"/>
            </w:tcMar>
          </w:tcPr>
          <w:p w14:paraId="70C48884" w14:textId="3E49E0B7" w:rsidR="00A759E2" w:rsidRPr="002502D5" w:rsidRDefault="00A759E2" w:rsidP="00A759E2">
            <w:pPr>
              <w:spacing w:after="0"/>
              <w:rPr>
                <w:b/>
                <w:bCs/>
                <w:sz w:val="22"/>
                <w:szCs w:val="22"/>
                <w:lang w:val="en-GB"/>
              </w:rPr>
            </w:pPr>
            <w:r w:rsidRPr="75780697">
              <w:rPr>
                <w:b/>
                <w:bCs/>
                <w:sz w:val="22"/>
                <w:szCs w:val="22"/>
                <w:lang w:val="en-GB"/>
              </w:rPr>
              <w:t>Final</w:t>
            </w:r>
            <w:r>
              <w:rPr>
                <w:b/>
                <w:bCs/>
                <w:sz w:val="22"/>
                <w:szCs w:val="22"/>
                <w:lang w:val="en-GB"/>
              </w:rPr>
              <w:t xml:space="preserve"> presentation</w:t>
            </w:r>
          </w:p>
          <w:p w14:paraId="6DED862C" w14:textId="3037A670" w:rsidR="00A759E2" w:rsidRPr="002502D5" w:rsidRDefault="00A759E2" w:rsidP="00A759E2">
            <w:pPr>
              <w:spacing w:after="0"/>
              <w:rPr>
                <w:b/>
                <w:bCs/>
                <w:sz w:val="22"/>
                <w:szCs w:val="22"/>
                <w:lang w:val="en-GB"/>
              </w:rPr>
            </w:pPr>
          </w:p>
          <w:p w14:paraId="13290FC4" w14:textId="39782C44" w:rsidR="00A759E2" w:rsidRPr="002502D5" w:rsidRDefault="00A759E2" w:rsidP="00A759E2">
            <w:pPr>
              <w:spacing w:after="0"/>
              <w:rPr>
                <w:b/>
                <w:bCs/>
                <w:sz w:val="22"/>
                <w:szCs w:val="22"/>
                <w:lang w:val="en-GB"/>
              </w:rPr>
            </w:pPr>
            <w:r>
              <w:rPr>
                <w:sz w:val="22"/>
                <w:szCs w:val="22"/>
                <w:lang w:val="en-GB"/>
              </w:rPr>
              <w:t>Present the aggregated learnings at internal de-briefing at the closing of the TAF.</w:t>
            </w:r>
          </w:p>
          <w:p w14:paraId="3CBB473E" w14:textId="3E3133F3" w:rsidR="00A759E2" w:rsidRPr="002502D5" w:rsidRDefault="00A759E2" w:rsidP="00A759E2">
            <w:pPr>
              <w:spacing w:after="0"/>
              <w:rPr>
                <w:sz w:val="22"/>
                <w:szCs w:val="22"/>
                <w:lang w:val="en-GB"/>
              </w:rPr>
            </w:pPr>
          </w:p>
          <w:p w14:paraId="4783442A" w14:textId="60E7D85B" w:rsidR="00A759E2" w:rsidRPr="002502D5" w:rsidRDefault="00A759E2" w:rsidP="00A759E2">
            <w:pPr>
              <w:spacing w:after="0"/>
              <w:rPr>
                <w:sz w:val="22"/>
                <w:szCs w:val="22"/>
                <w:lang w:val="en-GB"/>
              </w:rPr>
            </w:pPr>
            <w:r w:rsidRPr="75780697">
              <w:rPr>
                <w:sz w:val="22"/>
                <w:szCs w:val="22"/>
                <w:lang w:val="en-GB"/>
              </w:rPr>
              <w:t xml:space="preserve">Deliverable: </w:t>
            </w:r>
            <w:r>
              <w:rPr>
                <w:sz w:val="22"/>
                <w:szCs w:val="22"/>
                <w:lang w:val="en-GB"/>
              </w:rPr>
              <w:t>Presentation</w:t>
            </w:r>
            <w:r w:rsidRPr="75780697">
              <w:rPr>
                <w:sz w:val="22"/>
                <w:szCs w:val="22"/>
                <w:lang w:val="en-GB"/>
              </w:rPr>
              <w:t xml:space="preserve"> (</w:t>
            </w:r>
            <w:r>
              <w:rPr>
                <w:sz w:val="22"/>
                <w:szCs w:val="22"/>
                <w:lang w:val="en-GB"/>
              </w:rPr>
              <w:t>incl.</w:t>
            </w:r>
            <w:r w:rsidRPr="75780697">
              <w:rPr>
                <w:sz w:val="22"/>
                <w:szCs w:val="22"/>
                <w:lang w:val="en-GB"/>
              </w:rPr>
              <w:t xml:space="preserve"> slides).</w:t>
            </w:r>
          </w:p>
          <w:p w14:paraId="4480BCF3" w14:textId="7BF82671" w:rsidR="00A759E2" w:rsidRPr="002502D5" w:rsidRDefault="00A759E2" w:rsidP="00A759E2">
            <w:pPr>
              <w:spacing w:after="0"/>
              <w:rPr>
                <w:sz w:val="22"/>
                <w:szCs w:val="22"/>
                <w:lang w:val="en-GB"/>
              </w:rPr>
            </w:pPr>
          </w:p>
        </w:tc>
        <w:tc>
          <w:tcPr>
            <w:tcW w:w="2800" w:type="dxa"/>
            <w:shd w:val="clear" w:color="auto" w:fill="auto"/>
            <w:noWrap/>
            <w:tcMar>
              <w:top w:w="0" w:type="dxa"/>
              <w:left w:w="70" w:type="dxa"/>
              <w:bottom w:w="0" w:type="dxa"/>
              <w:right w:w="70" w:type="dxa"/>
            </w:tcMar>
          </w:tcPr>
          <w:p w14:paraId="3814BDF6" w14:textId="514E8C7B" w:rsidR="00A759E2" w:rsidRPr="002502D5" w:rsidRDefault="00A759E2" w:rsidP="00A759E2">
            <w:pPr>
              <w:spacing w:after="0"/>
              <w:rPr>
                <w:sz w:val="22"/>
                <w:szCs w:val="22"/>
                <w:lang w:val="en-GB"/>
              </w:rPr>
            </w:pPr>
            <w:r>
              <w:rPr>
                <w:sz w:val="22"/>
                <w:szCs w:val="22"/>
                <w:lang w:val="en-GB"/>
              </w:rPr>
              <w:t>Q4 2024</w:t>
            </w:r>
          </w:p>
          <w:p w14:paraId="19DD98BC" w14:textId="5E71350B" w:rsidR="00A759E2" w:rsidRPr="002502D5" w:rsidRDefault="00A759E2" w:rsidP="00A759E2">
            <w:pPr>
              <w:spacing w:after="0"/>
              <w:rPr>
                <w:sz w:val="22"/>
                <w:szCs w:val="22"/>
                <w:lang w:val="en-GB"/>
              </w:rPr>
            </w:pPr>
          </w:p>
        </w:tc>
      </w:tr>
    </w:tbl>
    <w:p w14:paraId="734F0C04" w14:textId="77777777" w:rsidR="007C270D" w:rsidRDefault="007C270D" w:rsidP="007C270D"/>
    <w:p w14:paraId="1C1A8382" w14:textId="29C7DBFC" w:rsidR="00BB2517" w:rsidRPr="002502D5" w:rsidRDefault="00BB2517" w:rsidP="00FC0A82">
      <w:pPr>
        <w:pStyle w:val="Headingnew"/>
      </w:pPr>
      <w:r w:rsidRPr="75780697">
        <w:t>Selection Procedure</w:t>
      </w:r>
    </w:p>
    <w:p w14:paraId="4033C8A0" w14:textId="4D2CC3B5" w:rsidR="00BB2517" w:rsidRPr="002502D5" w:rsidRDefault="00BB2517" w:rsidP="00BB2517">
      <w:pPr>
        <w:jc w:val="both"/>
        <w:rPr>
          <w:sz w:val="22"/>
          <w:szCs w:val="22"/>
          <w:lang w:val="en-US"/>
        </w:rPr>
      </w:pPr>
      <w:r w:rsidRPr="002502D5">
        <w:rPr>
          <w:sz w:val="22"/>
          <w:szCs w:val="22"/>
          <w:lang w:val="en-US"/>
        </w:rPr>
        <w:t>The procedure will be as follows:</w:t>
      </w:r>
    </w:p>
    <w:p w14:paraId="6696BED2" w14:textId="55694F3D" w:rsidR="009A7048" w:rsidRPr="002502D5" w:rsidRDefault="00BB2517" w:rsidP="00863221">
      <w:pPr>
        <w:numPr>
          <w:ilvl w:val="0"/>
          <w:numId w:val="13"/>
        </w:numPr>
        <w:jc w:val="both"/>
        <w:rPr>
          <w:sz w:val="22"/>
          <w:szCs w:val="22"/>
          <w:lang w:val="en-US"/>
        </w:rPr>
      </w:pPr>
      <w:r w:rsidRPr="75780697">
        <w:rPr>
          <w:sz w:val="22"/>
          <w:szCs w:val="22"/>
          <w:lang w:val="en-US"/>
        </w:rPr>
        <w:t>Publishing the tender and/ inviting services providers to submit a proposal based on this ToR.</w:t>
      </w:r>
    </w:p>
    <w:p w14:paraId="0A8C1DF4" w14:textId="4411ADB4" w:rsidR="009A7048" w:rsidRPr="009A7048" w:rsidRDefault="00BB2517" w:rsidP="00863221">
      <w:pPr>
        <w:numPr>
          <w:ilvl w:val="0"/>
          <w:numId w:val="13"/>
        </w:numPr>
        <w:jc w:val="both"/>
        <w:rPr>
          <w:sz w:val="22"/>
          <w:szCs w:val="22"/>
          <w:lang w:val="en-US"/>
        </w:rPr>
      </w:pPr>
      <w:r w:rsidRPr="009A7048">
        <w:rPr>
          <w:sz w:val="22"/>
          <w:szCs w:val="22"/>
          <w:lang w:val="en-US"/>
        </w:rPr>
        <w:t>Questions will be answered via an information notice that will be shared with all consultants that indicated their interest in the assignment or submitted questions.</w:t>
      </w:r>
    </w:p>
    <w:p w14:paraId="6950C7D0" w14:textId="7541A45C" w:rsidR="009A7048" w:rsidRPr="009A7048" w:rsidRDefault="00BB2517" w:rsidP="00863221">
      <w:pPr>
        <w:numPr>
          <w:ilvl w:val="0"/>
          <w:numId w:val="13"/>
        </w:numPr>
        <w:jc w:val="both"/>
        <w:rPr>
          <w:sz w:val="22"/>
          <w:szCs w:val="22"/>
          <w:lang w:val="en-US"/>
        </w:rPr>
      </w:pPr>
      <w:r w:rsidRPr="009A7048">
        <w:rPr>
          <w:sz w:val="22"/>
          <w:szCs w:val="22"/>
          <w:lang w:val="en-US"/>
        </w:rPr>
        <w:t>Evaluation of the proposals by the evaluation committee. The evaluation committee will evaluate the proposals based on the selection criteria as published in this ToR.</w:t>
      </w:r>
    </w:p>
    <w:p w14:paraId="4EBFEBA3" w14:textId="4EAFE7C1" w:rsidR="009A7048" w:rsidRPr="009A7048" w:rsidRDefault="00AC2E5B" w:rsidP="00863221">
      <w:pPr>
        <w:numPr>
          <w:ilvl w:val="0"/>
          <w:numId w:val="13"/>
        </w:numPr>
        <w:jc w:val="both"/>
        <w:rPr>
          <w:sz w:val="22"/>
          <w:szCs w:val="22"/>
          <w:lang w:val="en-US"/>
        </w:rPr>
      </w:pPr>
      <w:r w:rsidRPr="5CA244B7">
        <w:rPr>
          <w:sz w:val="22"/>
          <w:szCs w:val="22"/>
          <w:lang w:val="en-US"/>
        </w:rPr>
        <w:t>Selection</w:t>
      </w:r>
      <w:r w:rsidR="00BB2517" w:rsidRPr="5CA244B7">
        <w:rPr>
          <w:sz w:val="22"/>
          <w:szCs w:val="22"/>
          <w:lang w:val="en-US"/>
        </w:rPr>
        <w:t xml:space="preserve"> of top </w:t>
      </w:r>
      <w:r w:rsidR="009A7048" w:rsidRPr="5CA244B7">
        <w:rPr>
          <w:sz w:val="22"/>
          <w:szCs w:val="22"/>
          <w:lang w:val="en-US"/>
        </w:rPr>
        <w:t>3</w:t>
      </w:r>
      <w:r w:rsidR="00BB2517" w:rsidRPr="5CA244B7">
        <w:rPr>
          <w:sz w:val="22"/>
          <w:szCs w:val="22"/>
          <w:lang w:val="en-US"/>
        </w:rPr>
        <w:t xml:space="preserve"> service providers to do a team pitch</w:t>
      </w:r>
      <w:r w:rsidR="00001ADA" w:rsidRPr="5CA244B7">
        <w:rPr>
          <w:sz w:val="22"/>
          <w:szCs w:val="22"/>
          <w:lang w:val="en-US"/>
        </w:rPr>
        <w:t>.</w:t>
      </w:r>
    </w:p>
    <w:p w14:paraId="4F2B8232" w14:textId="4D5AAB68" w:rsidR="009A7048" w:rsidRPr="009A7048" w:rsidRDefault="00BB2517" w:rsidP="00863221">
      <w:pPr>
        <w:numPr>
          <w:ilvl w:val="0"/>
          <w:numId w:val="13"/>
        </w:numPr>
        <w:jc w:val="both"/>
        <w:rPr>
          <w:sz w:val="22"/>
          <w:szCs w:val="22"/>
          <w:lang w:val="en-US"/>
        </w:rPr>
      </w:pPr>
      <w:r w:rsidRPr="009A7048">
        <w:rPr>
          <w:sz w:val="22"/>
          <w:szCs w:val="22"/>
          <w:lang w:val="en-US"/>
        </w:rPr>
        <w:t>Decision on selection of the service provider.</w:t>
      </w:r>
    </w:p>
    <w:p w14:paraId="68369C96" w14:textId="77777777" w:rsidR="00BB2517" w:rsidRPr="009A7048" w:rsidRDefault="00BB2517" w:rsidP="00863221">
      <w:pPr>
        <w:numPr>
          <w:ilvl w:val="0"/>
          <w:numId w:val="13"/>
        </w:numPr>
        <w:jc w:val="both"/>
        <w:rPr>
          <w:sz w:val="22"/>
          <w:szCs w:val="22"/>
          <w:lang w:val="en-US"/>
        </w:rPr>
      </w:pPr>
      <w:r w:rsidRPr="009A7048">
        <w:rPr>
          <w:sz w:val="22"/>
          <w:szCs w:val="22"/>
          <w:lang w:val="en-US"/>
        </w:rPr>
        <w:t>Inception meeting with the selected service provider.</w:t>
      </w:r>
    </w:p>
    <w:p w14:paraId="41C35CE4" w14:textId="77777777" w:rsidR="00BB2517" w:rsidRPr="002502D5" w:rsidRDefault="00BB2517" w:rsidP="00BB2517">
      <w:pPr>
        <w:jc w:val="both"/>
        <w:rPr>
          <w:bCs/>
          <w:sz w:val="22"/>
          <w:szCs w:val="22"/>
          <w:lang w:val="en-GB"/>
        </w:rPr>
      </w:pPr>
      <w:r w:rsidRPr="002502D5">
        <w:rPr>
          <w:bCs/>
          <w:sz w:val="22"/>
          <w:szCs w:val="22"/>
          <w:lang w:val="en-GB"/>
        </w:rPr>
        <w:lastRenderedPageBreak/>
        <w:t xml:space="preserve">The schedule below indicates the timelines for the tender procedure: </w:t>
      </w:r>
    </w:p>
    <w:tbl>
      <w:tblPr>
        <w:tblW w:w="87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left w:w="0" w:type="dxa"/>
          <w:right w:w="0" w:type="dxa"/>
        </w:tblCellMar>
        <w:tblLook w:val="04A0" w:firstRow="1" w:lastRow="0" w:firstColumn="1" w:lastColumn="0" w:noHBand="0" w:noVBand="1"/>
      </w:tblPr>
      <w:tblGrid>
        <w:gridCol w:w="6045"/>
        <w:gridCol w:w="2687"/>
      </w:tblGrid>
      <w:tr w:rsidR="00BB2517" w:rsidRPr="002502D5" w14:paraId="3A9BD4CA" w14:textId="77777777" w:rsidTr="39C436F6">
        <w:trPr>
          <w:trHeight w:val="297"/>
        </w:trPr>
        <w:tc>
          <w:tcPr>
            <w:tcW w:w="6045" w:type="dxa"/>
            <w:shd w:val="clear" w:color="auto" w:fill="00615F" w:themeFill="accent1"/>
            <w:noWrap/>
            <w:tcMar>
              <w:top w:w="0" w:type="dxa"/>
              <w:left w:w="70" w:type="dxa"/>
              <w:bottom w:w="0" w:type="dxa"/>
              <w:right w:w="70" w:type="dxa"/>
            </w:tcMar>
            <w:vAlign w:val="center"/>
            <w:hideMark/>
          </w:tcPr>
          <w:p w14:paraId="7ECF66A0" w14:textId="349898EC" w:rsidR="00BB2517" w:rsidRPr="002502D5" w:rsidRDefault="00B0389E" w:rsidP="00BB2517">
            <w:pPr>
              <w:jc w:val="both"/>
              <w:rPr>
                <w:b/>
                <w:bCs/>
                <w:color w:val="FFFFFF" w:themeColor="background1"/>
                <w:sz w:val="22"/>
                <w:szCs w:val="22"/>
                <w:lang w:val="en-US"/>
              </w:rPr>
            </w:pPr>
            <w:r>
              <w:rPr>
                <w:b/>
                <w:bCs/>
                <w:color w:val="FFFFFF" w:themeColor="background1"/>
                <w:sz w:val="22"/>
                <w:szCs w:val="22"/>
                <w:lang w:val="en-US"/>
              </w:rPr>
              <w:t>Steps</w:t>
            </w:r>
          </w:p>
        </w:tc>
        <w:tc>
          <w:tcPr>
            <w:tcW w:w="2687" w:type="dxa"/>
            <w:shd w:val="clear" w:color="auto" w:fill="00615F" w:themeFill="accent1"/>
            <w:noWrap/>
            <w:tcMar>
              <w:top w:w="0" w:type="dxa"/>
              <w:left w:w="70" w:type="dxa"/>
              <w:bottom w:w="0" w:type="dxa"/>
              <w:right w:w="70" w:type="dxa"/>
            </w:tcMar>
            <w:vAlign w:val="center"/>
            <w:hideMark/>
          </w:tcPr>
          <w:p w14:paraId="75A0F31F" w14:textId="77777777" w:rsidR="00BB2517" w:rsidRPr="002502D5" w:rsidRDefault="00BB2517" w:rsidP="00BB2517">
            <w:pPr>
              <w:jc w:val="both"/>
              <w:rPr>
                <w:b/>
                <w:bCs/>
                <w:color w:val="FFFFFF" w:themeColor="background1"/>
                <w:sz w:val="22"/>
                <w:szCs w:val="22"/>
                <w:lang w:val="en-US"/>
              </w:rPr>
            </w:pPr>
            <w:r w:rsidRPr="002502D5">
              <w:rPr>
                <w:b/>
                <w:bCs/>
                <w:color w:val="FFFFFF" w:themeColor="background1"/>
                <w:sz w:val="22"/>
                <w:szCs w:val="22"/>
                <w:lang w:val="en-US"/>
              </w:rPr>
              <w:t>Timeline</w:t>
            </w:r>
          </w:p>
        </w:tc>
      </w:tr>
      <w:tr w:rsidR="00BB2517" w:rsidRPr="002502D5" w14:paraId="221E3BBE" w14:textId="77777777" w:rsidTr="39C436F6">
        <w:trPr>
          <w:trHeight w:val="297"/>
        </w:trPr>
        <w:tc>
          <w:tcPr>
            <w:tcW w:w="6045" w:type="dxa"/>
            <w:shd w:val="clear" w:color="auto" w:fill="FFFFFF" w:themeFill="background2"/>
            <w:noWrap/>
            <w:tcMar>
              <w:top w:w="0" w:type="dxa"/>
              <w:left w:w="70" w:type="dxa"/>
              <w:bottom w:w="0" w:type="dxa"/>
              <w:right w:w="70" w:type="dxa"/>
            </w:tcMar>
            <w:vAlign w:val="center"/>
            <w:hideMark/>
          </w:tcPr>
          <w:p w14:paraId="073F0BD9" w14:textId="77777777" w:rsidR="00BB2517" w:rsidRPr="002502D5" w:rsidRDefault="00BB2517" w:rsidP="00BB2517">
            <w:pPr>
              <w:jc w:val="both"/>
              <w:rPr>
                <w:sz w:val="22"/>
                <w:szCs w:val="22"/>
                <w:lang w:val="en-GB"/>
              </w:rPr>
            </w:pPr>
            <w:r w:rsidRPr="002502D5">
              <w:rPr>
                <w:sz w:val="22"/>
                <w:szCs w:val="22"/>
                <w:lang w:val="en-GB"/>
              </w:rPr>
              <w:t>ToR published</w:t>
            </w:r>
          </w:p>
        </w:tc>
        <w:tc>
          <w:tcPr>
            <w:tcW w:w="2687" w:type="dxa"/>
            <w:shd w:val="clear" w:color="auto" w:fill="FFFFFF" w:themeFill="background2"/>
            <w:noWrap/>
            <w:tcMar>
              <w:top w:w="0" w:type="dxa"/>
              <w:left w:w="70" w:type="dxa"/>
              <w:bottom w:w="0" w:type="dxa"/>
              <w:right w:w="70" w:type="dxa"/>
            </w:tcMar>
            <w:vAlign w:val="center"/>
          </w:tcPr>
          <w:p w14:paraId="18B63BBB" w14:textId="6929C580" w:rsidR="00BB2517" w:rsidRPr="002113FB" w:rsidRDefault="006C5DEF" w:rsidP="75780697">
            <w:pPr>
              <w:jc w:val="both"/>
              <w:rPr>
                <w:sz w:val="22"/>
                <w:szCs w:val="22"/>
                <w:lang w:val="en-GB"/>
              </w:rPr>
            </w:pPr>
            <w:r w:rsidRPr="002113FB">
              <w:rPr>
                <w:sz w:val="22"/>
                <w:szCs w:val="22"/>
                <w:lang w:val="en-GB"/>
              </w:rPr>
              <w:t>13</w:t>
            </w:r>
            <w:r w:rsidR="009A7048" w:rsidRPr="002113FB">
              <w:rPr>
                <w:sz w:val="22"/>
                <w:szCs w:val="22"/>
                <w:lang w:val="en-GB"/>
              </w:rPr>
              <w:t xml:space="preserve"> </w:t>
            </w:r>
            <w:r w:rsidRPr="002113FB">
              <w:rPr>
                <w:sz w:val="22"/>
                <w:szCs w:val="22"/>
                <w:lang w:val="en-GB"/>
              </w:rPr>
              <w:t>November</w:t>
            </w:r>
            <w:r w:rsidR="009A7048" w:rsidRPr="002113FB">
              <w:rPr>
                <w:sz w:val="22"/>
                <w:szCs w:val="22"/>
                <w:lang w:val="en-GB"/>
              </w:rPr>
              <w:t xml:space="preserve"> 2023</w:t>
            </w:r>
          </w:p>
        </w:tc>
      </w:tr>
      <w:tr w:rsidR="00BB2517" w:rsidRPr="002502D5" w14:paraId="1DC9E20B" w14:textId="77777777" w:rsidTr="39C436F6">
        <w:trPr>
          <w:trHeight w:val="297"/>
        </w:trPr>
        <w:tc>
          <w:tcPr>
            <w:tcW w:w="6045" w:type="dxa"/>
            <w:shd w:val="clear" w:color="auto" w:fill="FFFFFF" w:themeFill="background2"/>
            <w:noWrap/>
            <w:tcMar>
              <w:top w:w="0" w:type="dxa"/>
              <w:left w:w="70" w:type="dxa"/>
              <w:bottom w:w="0" w:type="dxa"/>
              <w:right w:w="70" w:type="dxa"/>
            </w:tcMar>
            <w:vAlign w:val="center"/>
          </w:tcPr>
          <w:p w14:paraId="7CE6B472" w14:textId="77777777" w:rsidR="00BB2517" w:rsidRPr="002502D5" w:rsidRDefault="00BB2517" w:rsidP="00BB2517">
            <w:pPr>
              <w:jc w:val="both"/>
              <w:rPr>
                <w:sz w:val="22"/>
                <w:szCs w:val="22"/>
                <w:lang w:val="en-GB"/>
              </w:rPr>
            </w:pPr>
            <w:r w:rsidRPr="002502D5">
              <w:rPr>
                <w:sz w:val="22"/>
                <w:szCs w:val="22"/>
                <w:lang w:val="en-GB"/>
              </w:rPr>
              <w:t>Closing date questions*</w:t>
            </w:r>
          </w:p>
        </w:tc>
        <w:tc>
          <w:tcPr>
            <w:tcW w:w="2687" w:type="dxa"/>
            <w:shd w:val="clear" w:color="auto" w:fill="FFFFFF" w:themeFill="background2"/>
            <w:noWrap/>
            <w:tcMar>
              <w:top w:w="0" w:type="dxa"/>
              <w:left w:w="70" w:type="dxa"/>
              <w:bottom w:w="0" w:type="dxa"/>
              <w:right w:w="70" w:type="dxa"/>
            </w:tcMar>
            <w:vAlign w:val="center"/>
          </w:tcPr>
          <w:p w14:paraId="39A5841B" w14:textId="32F27B24" w:rsidR="00BB2517" w:rsidRPr="002113FB" w:rsidRDefault="006C5DEF" w:rsidP="75780697">
            <w:pPr>
              <w:jc w:val="both"/>
              <w:rPr>
                <w:sz w:val="22"/>
                <w:szCs w:val="22"/>
                <w:lang w:val="en-GB"/>
              </w:rPr>
            </w:pPr>
            <w:r w:rsidRPr="002113FB">
              <w:rPr>
                <w:sz w:val="22"/>
                <w:szCs w:val="22"/>
                <w:lang w:val="en-GB"/>
              </w:rPr>
              <w:t>23</w:t>
            </w:r>
            <w:r w:rsidR="13974454" w:rsidRPr="002113FB">
              <w:rPr>
                <w:sz w:val="22"/>
                <w:szCs w:val="22"/>
                <w:lang w:val="en-GB"/>
              </w:rPr>
              <w:t xml:space="preserve"> </w:t>
            </w:r>
            <w:r w:rsidR="00630DF6" w:rsidRPr="002113FB">
              <w:rPr>
                <w:sz w:val="22"/>
                <w:szCs w:val="22"/>
                <w:lang w:val="en-GB"/>
              </w:rPr>
              <w:t>Novem</w:t>
            </w:r>
            <w:r w:rsidR="009A7048" w:rsidRPr="002113FB">
              <w:rPr>
                <w:sz w:val="22"/>
                <w:szCs w:val="22"/>
                <w:lang w:val="en-GB"/>
              </w:rPr>
              <w:t xml:space="preserve">ber </w:t>
            </w:r>
            <w:r w:rsidR="21BF725A" w:rsidRPr="002113FB">
              <w:rPr>
                <w:sz w:val="22"/>
                <w:szCs w:val="22"/>
                <w:lang w:val="en-GB"/>
              </w:rPr>
              <w:t>2023</w:t>
            </w:r>
          </w:p>
        </w:tc>
      </w:tr>
      <w:tr w:rsidR="00BB2517" w:rsidRPr="002502D5" w14:paraId="3A5D428E" w14:textId="77777777" w:rsidTr="39C436F6">
        <w:trPr>
          <w:trHeight w:val="297"/>
        </w:trPr>
        <w:tc>
          <w:tcPr>
            <w:tcW w:w="6045" w:type="dxa"/>
            <w:shd w:val="clear" w:color="auto" w:fill="FFFFFF" w:themeFill="background2"/>
            <w:noWrap/>
            <w:tcMar>
              <w:top w:w="0" w:type="dxa"/>
              <w:left w:w="70" w:type="dxa"/>
              <w:bottom w:w="0" w:type="dxa"/>
              <w:right w:w="70" w:type="dxa"/>
            </w:tcMar>
            <w:vAlign w:val="center"/>
          </w:tcPr>
          <w:p w14:paraId="64F1787D" w14:textId="74D4CFAF" w:rsidR="00BB2517" w:rsidRPr="002502D5" w:rsidRDefault="00BB2517" w:rsidP="00BB2517">
            <w:pPr>
              <w:jc w:val="both"/>
              <w:rPr>
                <w:sz w:val="22"/>
                <w:szCs w:val="22"/>
                <w:lang w:val="en-GB"/>
              </w:rPr>
            </w:pPr>
            <w:r w:rsidRPr="002502D5">
              <w:rPr>
                <w:sz w:val="22"/>
                <w:szCs w:val="22"/>
                <w:lang w:val="en-GB"/>
              </w:rPr>
              <w:t xml:space="preserve">Publication of </w:t>
            </w:r>
            <w:r w:rsidR="00A7396B" w:rsidRPr="002502D5">
              <w:rPr>
                <w:sz w:val="22"/>
                <w:szCs w:val="22"/>
                <w:lang w:val="en-GB"/>
              </w:rPr>
              <w:t>answers to submitted questions</w:t>
            </w:r>
          </w:p>
        </w:tc>
        <w:tc>
          <w:tcPr>
            <w:tcW w:w="2687" w:type="dxa"/>
            <w:shd w:val="clear" w:color="auto" w:fill="FFFFFF" w:themeFill="background2"/>
            <w:noWrap/>
            <w:tcMar>
              <w:top w:w="0" w:type="dxa"/>
              <w:left w:w="70" w:type="dxa"/>
              <w:bottom w:w="0" w:type="dxa"/>
              <w:right w:w="70" w:type="dxa"/>
            </w:tcMar>
            <w:vAlign w:val="center"/>
          </w:tcPr>
          <w:p w14:paraId="1EA851F7" w14:textId="47137897" w:rsidR="00BB2517" w:rsidRPr="002113FB" w:rsidRDefault="006C5DEF" w:rsidP="75780697">
            <w:pPr>
              <w:jc w:val="both"/>
              <w:rPr>
                <w:sz w:val="22"/>
                <w:szCs w:val="22"/>
                <w:lang w:val="en-GB"/>
              </w:rPr>
            </w:pPr>
            <w:r w:rsidRPr="002113FB">
              <w:rPr>
                <w:sz w:val="22"/>
                <w:szCs w:val="22"/>
                <w:lang w:val="en-GB"/>
              </w:rPr>
              <w:t>24</w:t>
            </w:r>
            <w:r w:rsidR="009A7048" w:rsidRPr="002113FB">
              <w:rPr>
                <w:sz w:val="22"/>
                <w:szCs w:val="22"/>
                <w:lang w:val="en-GB"/>
              </w:rPr>
              <w:t xml:space="preserve"> </w:t>
            </w:r>
            <w:r w:rsidR="00630DF6" w:rsidRPr="002113FB">
              <w:rPr>
                <w:sz w:val="22"/>
                <w:szCs w:val="22"/>
                <w:lang w:val="en-GB"/>
              </w:rPr>
              <w:t>Novem</w:t>
            </w:r>
            <w:r w:rsidR="009A7048" w:rsidRPr="002113FB">
              <w:rPr>
                <w:sz w:val="22"/>
                <w:szCs w:val="22"/>
                <w:lang w:val="en-GB"/>
              </w:rPr>
              <w:t>ber</w:t>
            </w:r>
            <w:r w:rsidR="009A7048" w:rsidRPr="002113FB" w:rsidDel="009A7048">
              <w:rPr>
                <w:sz w:val="22"/>
                <w:szCs w:val="22"/>
                <w:lang w:val="en-GB"/>
              </w:rPr>
              <w:t xml:space="preserve"> </w:t>
            </w:r>
            <w:r w:rsidR="131E2B6A" w:rsidRPr="002113FB">
              <w:rPr>
                <w:sz w:val="22"/>
                <w:szCs w:val="22"/>
                <w:lang w:val="en-GB"/>
              </w:rPr>
              <w:t>2023</w:t>
            </w:r>
          </w:p>
        </w:tc>
      </w:tr>
      <w:tr w:rsidR="00BB2517" w:rsidRPr="002502D5" w14:paraId="49B23AC1" w14:textId="77777777" w:rsidTr="39C436F6">
        <w:trPr>
          <w:trHeight w:val="297"/>
        </w:trPr>
        <w:tc>
          <w:tcPr>
            <w:tcW w:w="6045" w:type="dxa"/>
            <w:shd w:val="clear" w:color="auto" w:fill="FFFFFF" w:themeFill="background2"/>
            <w:noWrap/>
            <w:tcMar>
              <w:top w:w="0" w:type="dxa"/>
              <w:left w:w="70" w:type="dxa"/>
              <w:bottom w:w="0" w:type="dxa"/>
              <w:right w:w="70" w:type="dxa"/>
            </w:tcMar>
            <w:vAlign w:val="center"/>
            <w:hideMark/>
          </w:tcPr>
          <w:p w14:paraId="26CF028D" w14:textId="77777777" w:rsidR="00BB2517" w:rsidRPr="002502D5" w:rsidRDefault="00BB2517" w:rsidP="00BB2517">
            <w:pPr>
              <w:jc w:val="both"/>
              <w:rPr>
                <w:sz w:val="22"/>
                <w:szCs w:val="22"/>
                <w:lang w:val="en-GB"/>
              </w:rPr>
            </w:pPr>
            <w:r w:rsidRPr="39C436F6">
              <w:rPr>
                <w:b/>
                <w:bCs/>
                <w:sz w:val="22"/>
                <w:szCs w:val="22"/>
                <w:lang w:val="en-GB"/>
              </w:rPr>
              <w:t>Deadline for submission of proposals</w:t>
            </w:r>
            <w:r w:rsidRPr="39C436F6">
              <w:rPr>
                <w:sz w:val="22"/>
                <w:szCs w:val="22"/>
                <w:lang w:val="en-GB"/>
              </w:rPr>
              <w:t>**</w:t>
            </w:r>
          </w:p>
        </w:tc>
        <w:tc>
          <w:tcPr>
            <w:tcW w:w="2687" w:type="dxa"/>
            <w:shd w:val="clear" w:color="auto" w:fill="FFFFFF" w:themeFill="background2"/>
            <w:noWrap/>
            <w:tcMar>
              <w:top w:w="0" w:type="dxa"/>
              <w:left w:w="70" w:type="dxa"/>
              <w:bottom w:w="0" w:type="dxa"/>
              <w:right w:w="70" w:type="dxa"/>
            </w:tcMar>
            <w:vAlign w:val="center"/>
          </w:tcPr>
          <w:p w14:paraId="6EA1A134" w14:textId="6DA31170" w:rsidR="00BB2517" w:rsidRPr="002113FB" w:rsidRDefault="002709DF" w:rsidP="75780697">
            <w:pPr>
              <w:jc w:val="both"/>
              <w:rPr>
                <w:sz w:val="22"/>
                <w:szCs w:val="22"/>
                <w:lang w:val="en-GB"/>
              </w:rPr>
            </w:pPr>
            <w:r w:rsidRPr="002113FB">
              <w:rPr>
                <w:sz w:val="22"/>
                <w:szCs w:val="22"/>
                <w:lang w:val="en-GB"/>
              </w:rPr>
              <w:t>1</w:t>
            </w:r>
            <w:r w:rsidR="00310FE2">
              <w:rPr>
                <w:sz w:val="22"/>
                <w:szCs w:val="22"/>
                <w:lang w:val="en-GB"/>
              </w:rPr>
              <w:t>5</w:t>
            </w:r>
            <w:r w:rsidR="08BB9DA4" w:rsidRPr="002113FB">
              <w:rPr>
                <w:sz w:val="22"/>
                <w:szCs w:val="22"/>
                <w:lang w:val="en-GB"/>
              </w:rPr>
              <w:t xml:space="preserve"> </w:t>
            </w:r>
            <w:r w:rsidR="006C5DEF" w:rsidRPr="002113FB">
              <w:rPr>
                <w:sz w:val="22"/>
                <w:szCs w:val="22"/>
                <w:lang w:val="en-GB"/>
              </w:rPr>
              <w:t>Decem</w:t>
            </w:r>
            <w:r w:rsidR="00DD0332" w:rsidRPr="002113FB">
              <w:rPr>
                <w:sz w:val="22"/>
                <w:szCs w:val="22"/>
                <w:lang w:val="en-GB"/>
              </w:rPr>
              <w:t xml:space="preserve">ber </w:t>
            </w:r>
            <w:r w:rsidR="08BB9DA4" w:rsidRPr="002113FB">
              <w:rPr>
                <w:sz w:val="22"/>
                <w:szCs w:val="22"/>
                <w:lang w:val="en-GB"/>
              </w:rPr>
              <w:t>2023</w:t>
            </w:r>
          </w:p>
        </w:tc>
      </w:tr>
      <w:tr w:rsidR="00BB2517" w:rsidRPr="002502D5" w14:paraId="3DFA09DE" w14:textId="77777777" w:rsidTr="39C436F6">
        <w:trPr>
          <w:trHeight w:val="297"/>
        </w:trPr>
        <w:tc>
          <w:tcPr>
            <w:tcW w:w="6045" w:type="dxa"/>
            <w:shd w:val="clear" w:color="auto" w:fill="FFFFFF" w:themeFill="background2"/>
            <w:noWrap/>
            <w:tcMar>
              <w:top w:w="0" w:type="dxa"/>
              <w:left w:w="70" w:type="dxa"/>
              <w:bottom w:w="0" w:type="dxa"/>
              <w:right w:w="70" w:type="dxa"/>
            </w:tcMar>
            <w:vAlign w:val="center"/>
            <w:hideMark/>
          </w:tcPr>
          <w:p w14:paraId="5584E97C" w14:textId="158BA7D6" w:rsidR="00BB2517" w:rsidRPr="002502D5" w:rsidRDefault="00DD0332" w:rsidP="00BB2517">
            <w:pPr>
              <w:jc w:val="both"/>
              <w:rPr>
                <w:sz w:val="22"/>
                <w:szCs w:val="22"/>
                <w:lang w:val="en-GB"/>
              </w:rPr>
            </w:pPr>
            <w:r w:rsidRPr="5CA244B7">
              <w:rPr>
                <w:sz w:val="22"/>
                <w:szCs w:val="22"/>
                <w:lang w:val="en-US"/>
              </w:rPr>
              <w:t>Service providers team pitches***</w:t>
            </w:r>
          </w:p>
        </w:tc>
        <w:tc>
          <w:tcPr>
            <w:tcW w:w="2687" w:type="dxa"/>
            <w:shd w:val="clear" w:color="auto" w:fill="FFFFFF" w:themeFill="background2"/>
            <w:noWrap/>
            <w:tcMar>
              <w:top w:w="0" w:type="dxa"/>
              <w:left w:w="70" w:type="dxa"/>
              <w:bottom w:w="0" w:type="dxa"/>
              <w:right w:w="70" w:type="dxa"/>
            </w:tcMar>
            <w:vAlign w:val="center"/>
          </w:tcPr>
          <w:p w14:paraId="66FE1F0C" w14:textId="71ABFA02" w:rsidR="00BB2517" w:rsidRPr="002113FB" w:rsidRDefault="00DD0332" w:rsidP="75780697">
            <w:pPr>
              <w:jc w:val="both"/>
              <w:rPr>
                <w:sz w:val="22"/>
                <w:szCs w:val="22"/>
                <w:lang w:val="en-GB"/>
              </w:rPr>
            </w:pPr>
            <w:r w:rsidRPr="002113FB">
              <w:rPr>
                <w:sz w:val="22"/>
                <w:szCs w:val="22"/>
                <w:lang w:val="en-GB"/>
              </w:rPr>
              <w:t xml:space="preserve">week of </w:t>
            </w:r>
            <w:r w:rsidR="00310FE2">
              <w:rPr>
                <w:sz w:val="22"/>
                <w:szCs w:val="22"/>
                <w:lang w:val="en-GB"/>
              </w:rPr>
              <w:t>18</w:t>
            </w:r>
            <w:r w:rsidRPr="002113FB">
              <w:rPr>
                <w:sz w:val="22"/>
                <w:szCs w:val="22"/>
                <w:lang w:val="en-GB"/>
              </w:rPr>
              <w:t xml:space="preserve"> </w:t>
            </w:r>
            <w:r w:rsidR="006C5DEF" w:rsidRPr="002113FB">
              <w:rPr>
                <w:sz w:val="22"/>
                <w:szCs w:val="22"/>
                <w:lang w:val="en-GB"/>
              </w:rPr>
              <w:t>Dece</w:t>
            </w:r>
            <w:r w:rsidR="7B3842C7" w:rsidRPr="002113FB">
              <w:rPr>
                <w:sz w:val="22"/>
                <w:szCs w:val="22"/>
                <w:lang w:val="en-GB"/>
              </w:rPr>
              <w:t>mber 2023</w:t>
            </w:r>
            <w:r w:rsidR="2F549502" w:rsidRPr="002113FB">
              <w:rPr>
                <w:sz w:val="22"/>
                <w:szCs w:val="22"/>
                <w:lang w:val="en-GB"/>
              </w:rPr>
              <w:t xml:space="preserve"> (tbc)</w:t>
            </w:r>
          </w:p>
        </w:tc>
      </w:tr>
      <w:tr w:rsidR="00BB2517" w:rsidRPr="002502D5" w14:paraId="01403A02" w14:textId="77777777" w:rsidTr="39C436F6">
        <w:trPr>
          <w:trHeight w:val="297"/>
        </w:trPr>
        <w:tc>
          <w:tcPr>
            <w:tcW w:w="6045" w:type="dxa"/>
            <w:shd w:val="clear" w:color="auto" w:fill="FFFFFF" w:themeFill="background2"/>
            <w:noWrap/>
            <w:tcMar>
              <w:top w:w="0" w:type="dxa"/>
              <w:left w:w="70" w:type="dxa"/>
              <w:bottom w:w="0" w:type="dxa"/>
              <w:right w:w="70" w:type="dxa"/>
            </w:tcMar>
            <w:vAlign w:val="center"/>
            <w:hideMark/>
          </w:tcPr>
          <w:p w14:paraId="3C5962D0" w14:textId="77777777" w:rsidR="00BB2517" w:rsidRPr="002502D5" w:rsidRDefault="00BB2517" w:rsidP="00BB2517">
            <w:pPr>
              <w:jc w:val="both"/>
              <w:rPr>
                <w:sz w:val="22"/>
                <w:szCs w:val="22"/>
                <w:lang w:val="en-GB"/>
              </w:rPr>
            </w:pPr>
            <w:r w:rsidRPr="002502D5">
              <w:rPr>
                <w:sz w:val="22"/>
                <w:szCs w:val="22"/>
                <w:lang w:val="en-GB"/>
              </w:rPr>
              <w:t>Selection of Service provider</w:t>
            </w:r>
          </w:p>
        </w:tc>
        <w:tc>
          <w:tcPr>
            <w:tcW w:w="2687" w:type="dxa"/>
            <w:shd w:val="clear" w:color="auto" w:fill="FFFFFF" w:themeFill="background2"/>
            <w:noWrap/>
            <w:tcMar>
              <w:top w:w="0" w:type="dxa"/>
              <w:left w:w="70" w:type="dxa"/>
              <w:bottom w:w="0" w:type="dxa"/>
              <w:right w:w="70" w:type="dxa"/>
            </w:tcMar>
            <w:vAlign w:val="center"/>
          </w:tcPr>
          <w:p w14:paraId="4C30A53F" w14:textId="04FFA1A2" w:rsidR="00BB2517" w:rsidRPr="002113FB" w:rsidRDefault="00310FE2" w:rsidP="75780697">
            <w:pPr>
              <w:jc w:val="both"/>
              <w:rPr>
                <w:sz w:val="22"/>
                <w:szCs w:val="22"/>
                <w:lang w:val="en-GB"/>
              </w:rPr>
            </w:pPr>
            <w:r>
              <w:rPr>
                <w:sz w:val="22"/>
                <w:szCs w:val="22"/>
                <w:lang w:val="en-GB"/>
              </w:rPr>
              <w:t>4 January</w:t>
            </w:r>
            <w:r w:rsidR="00DD0332" w:rsidRPr="002113FB">
              <w:rPr>
                <w:sz w:val="22"/>
                <w:szCs w:val="22"/>
                <w:lang w:val="en-GB"/>
              </w:rPr>
              <w:t xml:space="preserve"> </w:t>
            </w:r>
            <w:r w:rsidR="08AA47C1" w:rsidRPr="002113FB">
              <w:rPr>
                <w:sz w:val="22"/>
                <w:szCs w:val="22"/>
                <w:lang w:val="en-GB"/>
              </w:rPr>
              <w:t>202</w:t>
            </w:r>
            <w:r>
              <w:rPr>
                <w:sz w:val="22"/>
                <w:szCs w:val="22"/>
                <w:lang w:val="en-GB"/>
              </w:rPr>
              <w:t>4</w:t>
            </w:r>
          </w:p>
        </w:tc>
      </w:tr>
      <w:tr w:rsidR="00BB2517" w:rsidRPr="002502D5" w14:paraId="318A8D12" w14:textId="77777777" w:rsidTr="39C436F6">
        <w:trPr>
          <w:trHeight w:val="345"/>
        </w:trPr>
        <w:tc>
          <w:tcPr>
            <w:tcW w:w="6045" w:type="dxa"/>
            <w:shd w:val="clear" w:color="auto" w:fill="FFFFFF" w:themeFill="background2"/>
            <w:noWrap/>
            <w:tcMar>
              <w:top w:w="0" w:type="dxa"/>
              <w:left w:w="70" w:type="dxa"/>
              <w:bottom w:w="0" w:type="dxa"/>
              <w:right w:w="70" w:type="dxa"/>
            </w:tcMar>
            <w:vAlign w:val="center"/>
            <w:hideMark/>
          </w:tcPr>
          <w:p w14:paraId="17FE0338" w14:textId="77777777" w:rsidR="00BB2517" w:rsidRPr="002502D5" w:rsidRDefault="00BB2517" w:rsidP="00BB2517">
            <w:pPr>
              <w:jc w:val="both"/>
              <w:rPr>
                <w:sz w:val="22"/>
                <w:szCs w:val="22"/>
                <w:lang w:val="en-US"/>
              </w:rPr>
            </w:pPr>
            <w:r w:rsidRPr="002502D5">
              <w:rPr>
                <w:sz w:val="22"/>
                <w:szCs w:val="22"/>
                <w:lang w:val="en-US"/>
              </w:rPr>
              <w:t xml:space="preserve">Start of assignment </w:t>
            </w:r>
          </w:p>
        </w:tc>
        <w:tc>
          <w:tcPr>
            <w:tcW w:w="2687" w:type="dxa"/>
            <w:shd w:val="clear" w:color="auto" w:fill="FFFFFF" w:themeFill="background2"/>
            <w:noWrap/>
            <w:tcMar>
              <w:top w:w="0" w:type="dxa"/>
              <w:left w:w="70" w:type="dxa"/>
              <w:bottom w:w="0" w:type="dxa"/>
              <w:right w:w="70" w:type="dxa"/>
            </w:tcMar>
            <w:vAlign w:val="center"/>
          </w:tcPr>
          <w:p w14:paraId="06CE406F" w14:textId="341D8D59" w:rsidR="00BB2517" w:rsidRPr="002113FB" w:rsidRDefault="006C5DEF" w:rsidP="75780697">
            <w:pPr>
              <w:jc w:val="both"/>
              <w:rPr>
                <w:sz w:val="22"/>
                <w:szCs w:val="22"/>
                <w:lang w:val="en-GB"/>
              </w:rPr>
            </w:pPr>
            <w:r w:rsidRPr="002113FB">
              <w:rPr>
                <w:sz w:val="22"/>
                <w:szCs w:val="22"/>
                <w:lang w:val="en-GB"/>
              </w:rPr>
              <w:t>Q1 2024</w:t>
            </w:r>
          </w:p>
        </w:tc>
      </w:tr>
    </w:tbl>
    <w:p w14:paraId="2B52CA36" w14:textId="77777777" w:rsidR="00BB2517" w:rsidRPr="002502D5" w:rsidRDefault="00BB2517" w:rsidP="00BB2517">
      <w:pPr>
        <w:jc w:val="both"/>
        <w:rPr>
          <w:sz w:val="22"/>
          <w:szCs w:val="22"/>
          <w:lang w:val="en-US"/>
        </w:rPr>
      </w:pPr>
      <w:r w:rsidRPr="002502D5">
        <w:rPr>
          <w:sz w:val="22"/>
          <w:szCs w:val="22"/>
          <w:lang w:val="en-US"/>
        </w:rPr>
        <w:t>* Questions received by IDH after this date will not be answered.</w:t>
      </w:r>
    </w:p>
    <w:p w14:paraId="22245392" w14:textId="77777777" w:rsidR="00BB2517" w:rsidRPr="002502D5" w:rsidRDefault="00BB2517" w:rsidP="00BB2517">
      <w:pPr>
        <w:jc w:val="both"/>
        <w:rPr>
          <w:sz w:val="22"/>
          <w:szCs w:val="22"/>
          <w:lang w:val="en-US"/>
        </w:rPr>
      </w:pPr>
      <w:r w:rsidRPr="002502D5">
        <w:rPr>
          <w:sz w:val="22"/>
          <w:szCs w:val="22"/>
          <w:lang w:val="en-US"/>
        </w:rPr>
        <w:t>** Proposals submitted after the deadline will be returned and will not be considered in the tender procedure.</w:t>
      </w:r>
    </w:p>
    <w:p w14:paraId="66A6D0FB" w14:textId="2FFAFACD" w:rsidR="00BB2517" w:rsidRPr="002502D5" w:rsidRDefault="00BB2517" w:rsidP="00BB2517">
      <w:pPr>
        <w:jc w:val="both"/>
        <w:rPr>
          <w:sz w:val="22"/>
          <w:szCs w:val="22"/>
          <w:lang w:val="en-US"/>
        </w:rPr>
      </w:pPr>
      <w:r w:rsidRPr="5CA244B7">
        <w:rPr>
          <w:sz w:val="22"/>
          <w:szCs w:val="22"/>
          <w:lang w:val="en-US"/>
        </w:rPr>
        <w:t xml:space="preserve">*** IDH may request shortlisted Service providers to </w:t>
      </w:r>
      <w:r w:rsidR="002F2350" w:rsidRPr="5CA244B7">
        <w:rPr>
          <w:sz w:val="22"/>
          <w:szCs w:val="22"/>
          <w:lang w:val="en-US"/>
        </w:rPr>
        <w:t>pitch</w:t>
      </w:r>
      <w:r w:rsidRPr="5CA244B7">
        <w:rPr>
          <w:sz w:val="22"/>
          <w:szCs w:val="22"/>
          <w:lang w:val="en-US"/>
        </w:rPr>
        <w:t xml:space="preserve"> session at the IDH HQ in Utrecht, Netherlands or via video conference.</w:t>
      </w:r>
    </w:p>
    <w:p w14:paraId="40CF4F92" w14:textId="77777777" w:rsidR="00591B6F" w:rsidRPr="00BB2517" w:rsidRDefault="00591B6F" w:rsidP="00591B6F">
      <w:pPr>
        <w:jc w:val="both"/>
        <w:rPr>
          <w:sz w:val="22"/>
          <w:szCs w:val="22"/>
          <w:lang w:val="en-US"/>
        </w:rPr>
      </w:pPr>
      <w:r w:rsidRPr="00BB2517">
        <w:rPr>
          <w:sz w:val="22"/>
          <w:szCs w:val="22"/>
          <w:lang w:val="en-US"/>
        </w:rPr>
        <w:t xml:space="preserve">After the deadline to submit a proposal has passed, the evaluation committee will evaluate the proposals. </w:t>
      </w:r>
    </w:p>
    <w:p w14:paraId="6C2C760B" w14:textId="77777777" w:rsidR="00591B6F" w:rsidRPr="00BB2517" w:rsidRDefault="00591B6F" w:rsidP="00591B6F">
      <w:pPr>
        <w:jc w:val="both"/>
        <w:rPr>
          <w:sz w:val="22"/>
          <w:szCs w:val="22"/>
          <w:lang w:val="en-US"/>
        </w:rPr>
      </w:pPr>
      <w:r w:rsidRPr="00BB2517">
        <w:rPr>
          <w:sz w:val="22"/>
          <w:szCs w:val="22"/>
          <w:lang w:val="en-US"/>
        </w:rPr>
        <w:t>The proposals will first be tested for completeness:</w:t>
      </w:r>
    </w:p>
    <w:p w14:paraId="00B97451" w14:textId="77777777" w:rsidR="00591B6F" w:rsidRPr="00BB2517" w:rsidRDefault="00591B6F" w:rsidP="00591B6F">
      <w:pPr>
        <w:numPr>
          <w:ilvl w:val="0"/>
          <w:numId w:val="6"/>
        </w:numPr>
        <w:jc w:val="both"/>
        <w:rPr>
          <w:sz w:val="22"/>
          <w:szCs w:val="22"/>
          <w:lang w:val="en-US"/>
        </w:rPr>
      </w:pPr>
      <w:r w:rsidRPr="00BB2517">
        <w:rPr>
          <w:sz w:val="22"/>
          <w:szCs w:val="22"/>
          <w:lang w:val="en-US"/>
        </w:rPr>
        <w:t>The absence of the documents referred to in Section 6 of this document can lead to exclusion from further participation in the tender procedure. This is also the case when minimum requirements listed in this ToR are not met.</w:t>
      </w:r>
    </w:p>
    <w:p w14:paraId="65B005B0" w14:textId="77777777" w:rsidR="00591B6F" w:rsidRPr="00BB2517" w:rsidRDefault="00591B6F" w:rsidP="00591B6F">
      <w:pPr>
        <w:numPr>
          <w:ilvl w:val="0"/>
          <w:numId w:val="6"/>
        </w:numPr>
        <w:jc w:val="both"/>
        <w:rPr>
          <w:sz w:val="22"/>
          <w:szCs w:val="22"/>
          <w:lang w:val="en-US"/>
        </w:rPr>
      </w:pPr>
      <w:r w:rsidRPr="00BB2517">
        <w:rPr>
          <w:sz w:val="22"/>
          <w:szCs w:val="22"/>
          <w:lang w:val="en-US"/>
        </w:rPr>
        <w:t xml:space="preserve">If the proposal is complete, the selection committee will evaluate the proposal based on the criterion as mentioned in section 6. </w:t>
      </w:r>
    </w:p>
    <w:p w14:paraId="0805C35D" w14:textId="66450478" w:rsidR="00BB2517" w:rsidRPr="002502D5" w:rsidRDefault="00BB2517" w:rsidP="00BB2517">
      <w:pPr>
        <w:jc w:val="both"/>
        <w:rPr>
          <w:sz w:val="22"/>
          <w:szCs w:val="22"/>
          <w:lang w:val="en-US"/>
        </w:rPr>
      </w:pPr>
      <w:r w:rsidRPr="00591B6F">
        <w:rPr>
          <w:sz w:val="22"/>
          <w:szCs w:val="22"/>
          <w:lang w:val="en-US"/>
        </w:rPr>
        <w:t xml:space="preserve">The assignment will be awarded to the service provider with the most economically advantageous tender.  This is determined based on the evaluation </w:t>
      </w:r>
      <w:r w:rsidR="000776DA" w:rsidRPr="00591B6F">
        <w:rPr>
          <w:sz w:val="22"/>
          <w:szCs w:val="22"/>
          <w:lang w:val="en-US"/>
        </w:rPr>
        <w:t>criteria,</w:t>
      </w:r>
      <w:r w:rsidRPr="00591B6F">
        <w:rPr>
          <w:sz w:val="22"/>
          <w:szCs w:val="22"/>
          <w:lang w:val="en-US"/>
        </w:rPr>
        <w:t xml:space="preserve"> </w:t>
      </w:r>
      <w:r w:rsidR="000D29BE" w:rsidRPr="00591B6F">
        <w:rPr>
          <w:sz w:val="22"/>
          <w:szCs w:val="22"/>
          <w:lang w:val="en-US"/>
        </w:rPr>
        <w:t>price,</w:t>
      </w:r>
      <w:r w:rsidRPr="00591B6F">
        <w:rPr>
          <w:sz w:val="22"/>
          <w:szCs w:val="22"/>
          <w:lang w:val="en-US"/>
        </w:rPr>
        <w:t xml:space="preserve"> and quality.</w:t>
      </w:r>
    </w:p>
    <w:p w14:paraId="71F4B3B3" w14:textId="67C72921" w:rsidR="00BB2517" w:rsidRDefault="00BB2517" w:rsidP="00BB2517">
      <w:pPr>
        <w:jc w:val="both"/>
        <w:rPr>
          <w:sz w:val="22"/>
          <w:szCs w:val="22"/>
          <w:lang w:val="en-US"/>
        </w:rPr>
      </w:pPr>
      <w:r w:rsidRPr="002502D5">
        <w:rPr>
          <w:sz w:val="22"/>
          <w:szCs w:val="22"/>
          <w:lang w:val="en-US"/>
        </w:rPr>
        <w:t>IDH will reject the proposal if any illegal or corrupt practices have taken place in connection with the award or th</w:t>
      </w:r>
      <w:r w:rsidRPr="00591B6F">
        <w:rPr>
          <w:sz w:val="22"/>
          <w:szCs w:val="22"/>
          <w:lang w:val="en-US"/>
        </w:rPr>
        <w:t>e tender</w:t>
      </w:r>
      <w:r w:rsidRPr="002502D5">
        <w:rPr>
          <w:sz w:val="22"/>
          <w:szCs w:val="22"/>
          <w:lang w:val="en-US"/>
        </w:rPr>
        <w:t xml:space="preserve"> procedure.</w:t>
      </w:r>
    </w:p>
    <w:p w14:paraId="539ECF4A" w14:textId="77777777" w:rsidR="00BB2517" w:rsidRPr="002502D5" w:rsidRDefault="00BB2517" w:rsidP="00BB2517">
      <w:pPr>
        <w:jc w:val="both"/>
        <w:rPr>
          <w:sz w:val="22"/>
          <w:szCs w:val="22"/>
          <w:u w:val="single"/>
          <w:lang w:val="en-GB"/>
        </w:rPr>
      </w:pPr>
      <w:r w:rsidRPr="002502D5">
        <w:rPr>
          <w:sz w:val="22"/>
          <w:szCs w:val="22"/>
          <w:u w:val="single"/>
          <w:lang w:val="en-GB"/>
        </w:rPr>
        <w:t>Questions</w:t>
      </w:r>
    </w:p>
    <w:p w14:paraId="0E832E11" w14:textId="17B5BD31" w:rsidR="00BB2517" w:rsidRPr="002502D5" w:rsidRDefault="00CE0EAB" w:rsidP="00BB2517">
      <w:pPr>
        <w:jc w:val="both"/>
        <w:rPr>
          <w:bCs/>
          <w:sz w:val="22"/>
          <w:szCs w:val="22"/>
          <w:lang w:val="en-GB"/>
        </w:rPr>
      </w:pPr>
      <w:r>
        <w:rPr>
          <w:bCs/>
          <w:sz w:val="22"/>
          <w:szCs w:val="22"/>
          <w:lang w:val="en-GB"/>
        </w:rPr>
        <w:t>Q</w:t>
      </w:r>
      <w:r w:rsidR="00BB2517" w:rsidRPr="002502D5">
        <w:rPr>
          <w:bCs/>
          <w:sz w:val="22"/>
          <w:szCs w:val="22"/>
          <w:lang w:val="en-GB"/>
        </w:rPr>
        <w:t xml:space="preserve">uestions regarding the assignment or the ToR can be </w:t>
      </w:r>
      <w:r w:rsidR="00BB2517" w:rsidRPr="00833532">
        <w:rPr>
          <w:bCs/>
          <w:sz w:val="22"/>
          <w:szCs w:val="22"/>
          <w:lang w:val="en-GB"/>
        </w:rPr>
        <w:t xml:space="preserve">submitted until </w:t>
      </w:r>
      <w:r w:rsidR="006C5DEF" w:rsidRPr="00833532">
        <w:rPr>
          <w:bCs/>
          <w:sz w:val="22"/>
          <w:szCs w:val="22"/>
          <w:lang w:val="en-GB"/>
        </w:rPr>
        <w:t>23</w:t>
      </w:r>
      <w:r w:rsidR="00DD0332" w:rsidRPr="00833532">
        <w:rPr>
          <w:bCs/>
          <w:sz w:val="22"/>
          <w:szCs w:val="22"/>
          <w:lang w:val="en-GB"/>
        </w:rPr>
        <w:t xml:space="preserve"> </w:t>
      </w:r>
      <w:r w:rsidR="00C91191" w:rsidRPr="00833532">
        <w:rPr>
          <w:bCs/>
          <w:sz w:val="22"/>
          <w:szCs w:val="22"/>
          <w:lang w:val="en-GB"/>
        </w:rPr>
        <w:t>Novem</w:t>
      </w:r>
      <w:r w:rsidR="00DD0332" w:rsidRPr="00833532">
        <w:rPr>
          <w:bCs/>
          <w:sz w:val="22"/>
          <w:szCs w:val="22"/>
          <w:lang w:val="en-GB"/>
        </w:rPr>
        <w:t xml:space="preserve">ber </w:t>
      </w:r>
      <w:r w:rsidR="00977BC4" w:rsidRPr="00833532">
        <w:rPr>
          <w:bCs/>
          <w:sz w:val="22"/>
          <w:szCs w:val="22"/>
          <w:lang w:val="en-GB"/>
        </w:rPr>
        <w:t>2023</w:t>
      </w:r>
      <w:r w:rsidR="00977BC4">
        <w:rPr>
          <w:bCs/>
          <w:sz w:val="22"/>
          <w:szCs w:val="22"/>
          <w:lang w:val="en-GB"/>
        </w:rPr>
        <w:t xml:space="preserve">, </w:t>
      </w:r>
      <w:r w:rsidR="00977BC4" w:rsidRPr="002502D5">
        <w:rPr>
          <w:bCs/>
          <w:sz w:val="22"/>
          <w:szCs w:val="22"/>
          <w:lang w:val="en-GB"/>
        </w:rPr>
        <w:t>by</w:t>
      </w:r>
      <w:r w:rsidR="00BB2517" w:rsidRPr="002502D5">
        <w:rPr>
          <w:bCs/>
          <w:sz w:val="22"/>
          <w:szCs w:val="22"/>
          <w:lang w:val="en-GB"/>
        </w:rPr>
        <w:t xml:space="preserve"> e-mail to </w:t>
      </w:r>
      <w:hyperlink r:id="rId14" w:history="1">
        <w:r w:rsidR="00DD0332" w:rsidRPr="00DD0332">
          <w:rPr>
            <w:rStyle w:val="Hyperlink"/>
            <w:bCs/>
            <w:sz w:val="22"/>
            <w:szCs w:val="22"/>
            <w:lang w:val="en-GB"/>
          </w:rPr>
          <w:t>ichsan@idhtrade.org</w:t>
        </w:r>
      </w:hyperlink>
      <w:r w:rsidR="00BB2517" w:rsidRPr="002502D5">
        <w:rPr>
          <w:bCs/>
          <w:sz w:val="22"/>
          <w:szCs w:val="22"/>
          <w:lang w:val="en-GB"/>
        </w:rPr>
        <w:t xml:space="preserve">. With the express mention: “Questions tender </w:t>
      </w:r>
      <w:r>
        <w:rPr>
          <w:bCs/>
          <w:sz w:val="22"/>
          <w:szCs w:val="22"/>
          <w:lang w:val="en-GB"/>
        </w:rPr>
        <w:t>LDN TAF</w:t>
      </w:r>
      <w:r w:rsidR="00DE2AD0" w:rsidRPr="002502D5">
        <w:rPr>
          <w:bCs/>
          <w:sz w:val="22"/>
          <w:szCs w:val="22"/>
          <w:lang w:val="en-GB"/>
        </w:rPr>
        <w:t xml:space="preserve"> Learning and KP</w:t>
      </w:r>
      <w:r w:rsidR="00BB2517" w:rsidRPr="002502D5">
        <w:rPr>
          <w:bCs/>
          <w:sz w:val="22"/>
          <w:szCs w:val="22"/>
          <w:lang w:val="en-GB"/>
        </w:rPr>
        <w:t>”.</w:t>
      </w:r>
    </w:p>
    <w:p w14:paraId="598AF008" w14:textId="5ECFE92F" w:rsidR="00BB2517" w:rsidRPr="002502D5" w:rsidRDefault="00BB2517" w:rsidP="41C8B85D">
      <w:pPr>
        <w:jc w:val="both"/>
        <w:rPr>
          <w:sz w:val="22"/>
          <w:szCs w:val="22"/>
          <w:lang w:val="en-GB"/>
        </w:rPr>
      </w:pPr>
      <w:r w:rsidRPr="00591B6F">
        <w:rPr>
          <w:sz w:val="22"/>
          <w:szCs w:val="22"/>
          <w:lang w:val="en-GB"/>
        </w:rPr>
        <w:lastRenderedPageBreak/>
        <w:t xml:space="preserve">Questions must be submitted in the English language and using the Template Question Form, attached to this ToR as </w:t>
      </w:r>
      <w:r w:rsidR="00DB3418" w:rsidRPr="00591B6F">
        <w:rPr>
          <w:sz w:val="22"/>
          <w:szCs w:val="22"/>
          <w:lang w:val="en-GB"/>
        </w:rPr>
        <w:t>A</w:t>
      </w:r>
      <w:r w:rsidRPr="00591B6F">
        <w:rPr>
          <w:sz w:val="22"/>
          <w:szCs w:val="22"/>
          <w:lang w:val="en-GB"/>
        </w:rPr>
        <w:t xml:space="preserve">nnex </w:t>
      </w:r>
      <w:r w:rsidR="004CEA1C" w:rsidRPr="00591B6F">
        <w:rPr>
          <w:sz w:val="22"/>
          <w:szCs w:val="22"/>
          <w:lang w:val="en-GB"/>
        </w:rPr>
        <w:t>2</w:t>
      </w:r>
      <w:r w:rsidR="000D29BE" w:rsidRPr="00591B6F">
        <w:rPr>
          <w:sz w:val="22"/>
          <w:szCs w:val="22"/>
          <w:lang w:val="en-GB"/>
        </w:rPr>
        <w:t>.</w:t>
      </w:r>
    </w:p>
    <w:p w14:paraId="4227430A" w14:textId="4FD52845" w:rsidR="00BB2517" w:rsidRPr="002502D5" w:rsidRDefault="00BB2517" w:rsidP="00BB2517">
      <w:pPr>
        <w:jc w:val="both"/>
        <w:rPr>
          <w:bCs/>
          <w:sz w:val="22"/>
          <w:szCs w:val="22"/>
          <w:lang w:val="en-GB"/>
        </w:rPr>
      </w:pPr>
      <w:r w:rsidRPr="002502D5">
        <w:rPr>
          <w:bCs/>
          <w:sz w:val="22"/>
          <w:szCs w:val="22"/>
          <w:lang w:val="en-GB"/>
        </w:rPr>
        <w:t xml:space="preserve">The submitted questions will </w:t>
      </w:r>
      <w:r w:rsidR="00B72663" w:rsidRPr="002502D5">
        <w:rPr>
          <w:bCs/>
          <w:sz w:val="22"/>
          <w:szCs w:val="22"/>
          <w:lang w:val="en-GB"/>
        </w:rPr>
        <w:t>be grouped</w:t>
      </w:r>
      <w:r w:rsidRPr="002502D5">
        <w:rPr>
          <w:bCs/>
          <w:sz w:val="22"/>
          <w:szCs w:val="22"/>
          <w:lang w:val="en-GB"/>
        </w:rPr>
        <w:t>, anonymized, and combined in an information notice. This notice will be sent to all consultants in a reply to the e-mail in which the questions where submitted.</w:t>
      </w:r>
    </w:p>
    <w:p w14:paraId="7743B231" w14:textId="77777777" w:rsidR="00BB2517" w:rsidRPr="002502D5" w:rsidRDefault="00BB2517" w:rsidP="00BB2517">
      <w:pPr>
        <w:jc w:val="both"/>
        <w:rPr>
          <w:bCs/>
          <w:sz w:val="22"/>
          <w:szCs w:val="22"/>
          <w:lang w:val="en-GB"/>
        </w:rPr>
      </w:pPr>
      <w:r w:rsidRPr="002502D5">
        <w:rPr>
          <w:bCs/>
          <w:sz w:val="22"/>
          <w:szCs w:val="22"/>
          <w:lang w:val="en-GB"/>
        </w:rPr>
        <w:t>The responsibility for the timely and accurate submission of the questions lies with the service provider. When IDH indicates that questions have not been received by IDH before the indicated deadline, the service provider must demonstrate that the questions were sent timely.</w:t>
      </w:r>
    </w:p>
    <w:p w14:paraId="7B1800A7" w14:textId="77777777" w:rsidR="00BB2517" w:rsidRPr="002502D5" w:rsidRDefault="00BB2517" w:rsidP="00BB2517">
      <w:pPr>
        <w:jc w:val="both"/>
        <w:rPr>
          <w:bCs/>
          <w:sz w:val="22"/>
          <w:szCs w:val="22"/>
          <w:lang w:val="en-GB"/>
        </w:rPr>
      </w:pPr>
    </w:p>
    <w:p w14:paraId="62DDF470" w14:textId="77777777" w:rsidR="00BB2517" w:rsidRPr="002502D5" w:rsidRDefault="00BB2517" w:rsidP="00FC0A82">
      <w:pPr>
        <w:pStyle w:val="Headingnew"/>
      </w:pPr>
      <w:r w:rsidRPr="75780697">
        <w:t>Proposal requirements</w:t>
      </w:r>
    </w:p>
    <w:p w14:paraId="77F74A92" w14:textId="2C1B1B0D" w:rsidR="00BB2517" w:rsidRPr="002502D5" w:rsidRDefault="00BB2517" w:rsidP="00BB2517">
      <w:pPr>
        <w:jc w:val="both"/>
        <w:rPr>
          <w:sz w:val="22"/>
          <w:szCs w:val="22"/>
          <w:lang w:val="en-US"/>
        </w:rPr>
      </w:pPr>
      <w:r w:rsidRPr="002502D5">
        <w:rPr>
          <w:sz w:val="22"/>
          <w:szCs w:val="22"/>
          <w:lang w:val="en-US"/>
        </w:rPr>
        <w:t xml:space="preserve">IDH is requesting the service providers to hand in a proposal of maximum </w:t>
      </w:r>
      <w:r w:rsidR="00092FFA">
        <w:rPr>
          <w:sz w:val="22"/>
          <w:szCs w:val="22"/>
          <w:lang w:val="en-US"/>
        </w:rPr>
        <w:t>10</w:t>
      </w:r>
      <w:r w:rsidRPr="002502D5">
        <w:rPr>
          <w:sz w:val="22"/>
          <w:szCs w:val="22"/>
          <w:lang w:val="en-US"/>
        </w:rPr>
        <w:t xml:space="preserve"> pages (excluding company biographies, CVs, sample work and references). The proposal must be handed in a MS Word or PowerPoint version next to a PDF submission to facilitate any copy-and-pasting of content that we may need during evaluation.   </w:t>
      </w:r>
    </w:p>
    <w:p w14:paraId="1A9FEDF8" w14:textId="77777777" w:rsidR="00BB2517" w:rsidRPr="002502D5" w:rsidRDefault="00BB2517" w:rsidP="00BB2517">
      <w:pPr>
        <w:jc w:val="both"/>
        <w:rPr>
          <w:sz w:val="22"/>
          <w:szCs w:val="22"/>
          <w:lang w:val="en-US"/>
        </w:rPr>
      </w:pPr>
      <w:r w:rsidRPr="002502D5">
        <w:rPr>
          <w:sz w:val="22"/>
          <w:szCs w:val="22"/>
          <w:lang w:val="en-US"/>
        </w:rPr>
        <w:t>The proposal must at least include:</w:t>
      </w:r>
    </w:p>
    <w:p w14:paraId="0478FF31" w14:textId="77777777" w:rsidR="00BB2517" w:rsidRPr="002502D5" w:rsidRDefault="00BB2517" w:rsidP="00BB2517">
      <w:pPr>
        <w:jc w:val="both"/>
        <w:rPr>
          <w:sz w:val="22"/>
          <w:szCs w:val="22"/>
          <w:u w:val="single"/>
          <w:lang w:val="en-US"/>
        </w:rPr>
      </w:pPr>
      <w:r w:rsidRPr="002502D5">
        <w:rPr>
          <w:sz w:val="22"/>
          <w:szCs w:val="22"/>
          <w:u w:val="single"/>
          <w:lang w:val="en-US"/>
        </w:rPr>
        <w:t>Content:</w:t>
      </w:r>
    </w:p>
    <w:p w14:paraId="30E2A1D7" w14:textId="49514C82" w:rsidR="00BB2517" w:rsidRPr="002502D5" w:rsidRDefault="00BB2517" w:rsidP="00BB2517">
      <w:pPr>
        <w:numPr>
          <w:ilvl w:val="0"/>
          <w:numId w:val="1"/>
        </w:numPr>
        <w:jc w:val="both"/>
        <w:rPr>
          <w:sz w:val="22"/>
          <w:szCs w:val="22"/>
          <w:lang w:val="en-US"/>
        </w:rPr>
      </w:pPr>
      <w:r w:rsidRPr="002502D5">
        <w:rPr>
          <w:sz w:val="22"/>
          <w:szCs w:val="22"/>
          <w:lang w:val="en-US"/>
        </w:rPr>
        <w:t xml:space="preserve">A succinct, well-documented approach addressing the requirements set out this ToR. We request that the proposal structure </w:t>
      </w:r>
      <w:r w:rsidR="00E93C70" w:rsidRPr="002502D5">
        <w:rPr>
          <w:sz w:val="22"/>
          <w:szCs w:val="22"/>
          <w:lang w:val="en-US"/>
        </w:rPr>
        <w:t>matches</w:t>
      </w:r>
      <w:r w:rsidRPr="002502D5">
        <w:rPr>
          <w:sz w:val="22"/>
          <w:szCs w:val="22"/>
          <w:lang w:val="en-US"/>
        </w:rPr>
        <w:t xml:space="preserve"> the selection criteria as closely as </w:t>
      </w:r>
      <w:r w:rsidR="00E93C70" w:rsidRPr="002502D5">
        <w:rPr>
          <w:sz w:val="22"/>
          <w:szCs w:val="22"/>
          <w:lang w:val="en-US"/>
        </w:rPr>
        <w:t>possible.</w:t>
      </w:r>
    </w:p>
    <w:p w14:paraId="016780F0" w14:textId="2582BFBC" w:rsidR="00BB2517" w:rsidRPr="002502D5" w:rsidRDefault="00BB2517" w:rsidP="00BB2517">
      <w:pPr>
        <w:numPr>
          <w:ilvl w:val="0"/>
          <w:numId w:val="1"/>
        </w:numPr>
        <w:jc w:val="both"/>
        <w:rPr>
          <w:sz w:val="22"/>
          <w:szCs w:val="22"/>
          <w:lang w:val="en-US"/>
        </w:rPr>
      </w:pPr>
      <w:r w:rsidRPr="002502D5">
        <w:rPr>
          <w:sz w:val="22"/>
          <w:szCs w:val="22"/>
          <w:lang w:val="en-US"/>
        </w:rPr>
        <w:t>Maximum of three client references and a sample of previous work relevant to the deliverables in this ToR</w:t>
      </w:r>
      <w:r w:rsidR="004909BC" w:rsidRPr="002502D5">
        <w:rPr>
          <w:sz w:val="22"/>
          <w:szCs w:val="22"/>
          <w:lang w:val="en-US"/>
        </w:rPr>
        <w:t>.</w:t>
      </w:r>
    </w:p>
    <w:p w14:paraId="7ACA23C4" w14:textId="77777777" w:rsidR="00BB2517" w:rsidRPr="002502D5" w:rsidRDefault="00BB2517" w:rsidP="00BB2517">
      <w:pPr>
        <w:numPr>
          <w:ilvl w:val="0"/>
          <w:numId w:val="1"/>
        </w:numPr>
        <w:jc w:val="both"/>
        <w:rPr>
          <w:sz w:val="22"/>
          <w:szCs w:val="22"/>
          <w:lang w:val="en-US"/>
        </w:rPr>
      </w:pPr>
      <w:r w:rsidRPr="002502D5">
        <w:rPr>
          <w:sz w:val="22"/>
          <w:szCs w:val="22"/>
          <w:lang w:val="en-GB"/>
        </w:rPr>
        <w:t>An overview of the project team, including the CVs of the project team members</w:t>
      </w:r>
    </w:p>
    <w:p w14:paraId="37CB1954" w14:textId="5C86492A" w:rsidR="00BB2517" w:rsidRPr="002502D5" w:rsidRDefault="00BB2517" w:rsidP="00BB2517">
      <w:pPr>
        <w:numPr>
          <w:ilvl w:val="0"/>
          <w:numId w:val="1"/>
        </w:numPr>
        <w:jc w:val="both"/>
        <w:rPr>
          <w:sz w:val="22"/>
          <w:szCs w:val="22"/>
          <w:lang w:val="en-US"/>
        </w:rPr>
      </w:pPr>
      <w:r w:rsidRPr="29938569">
        <w:rPr>
          <w:sz w:val="22"/>
          <w:szCs w:val="22"/>
          <w:lang w:val="en-US"/>
        </w:rPr>
        <w:t>Budget presented in Euros (</w:t>
      </w:r>
      <w:r w:rsidR="677A02FD" w:rsidRPr="29938569">
        <w:rPr>
          <w:sz w:val="22"/>
          <w:szCs w:val="22"/>
          <w:lang w:val="en-US"/>
        </w:rPr>
        <w:t xml:space="preserve">ex and </w:t>
      </w:r>
      <w:r w:rsidR="00BF54AA" w:rsidRPr="29938569">
        <w:rPr>
          <w:sz w:val="22"/>
          <w:szCs w:val="22"/>
          <w:u w:val="single"/>
          <w:lang w:val="en-US"/>
        </w:rPr>
        <w:t>in</w:t>
      </w:r>
      <w:r w:rsidRPr="29938569">
        <w:rPr>
          <w:sz w:val="22"/>
          <w:szCs w:val="22"/>
          <w:u w:val="single"/>
          <w:lang w:val="en-US"/>
        </w:rPr>
        <w:t xml:space="preserve"> VAT</w:t>
      </w:r>
      <w:r w:rsidRPr="29938569">
        <w:rPr>
          <w:sz w:val="22"/>
          <w:szCs w:val="22"/>
          <w:lang w:val="en-US"/>
        </w:rPr>
        <w:t xml:space="preserve">) with a break-down of days/rate per project team </w:t>
      </w:r>
      <w:r w:rsidR="00AE3FB0" w:rsidRPr="29938569">
        <w:rPr>
          <w:sz w:val="22"/>
          <w:szCs w:val="22"/>
          <w:lang w:val="en-US"/>
        </w:rPr>
        <w:t>member.</w:t>
      </w:r>
    </w:p>
    <w:p w14:paraId="77665084" w14:textId="3D8A33ED" w:rsidR="00484310" w:rsidRPr="002502D5" w:rsidRDefault="00484310" w:rsidP="00484310">
      <w:pPr>
        <w:numPr>
          <w:ilvl w:val="1"/>
          <w:numId w:val="1"/>
        </w:numPr>
        <w:jc w:val="both"/>
        <w:rPr>
          <w:sz w:val="22"/>
          <w:szCs w:val="22"/>
          <w:lang w:val="en-US"/>
        </w:rPr>
      </w:pPr>
      <w:r w:rsidRPr="12CFA0DE">
        <w:rPr>
          <w:sz w:val="22"/>
          <w:szCs w:val="22"/>
          <w:lang w:val="en-US"/>
        </w:rPr>
        <w:t xml:space="preserve">The budget is expected to not exceed EUR </w:t>
      </w:r>
      <w:r w:rsidR="00D6028C" w:rsidRPr="12CFA0DE">
        <w:rPr>
          <w:sz w:val="22"/>
          <w:szCs w:val="22"/>
          <w:lang w:val="en-US"/>
        </w:rPr>
        <w:t>5</w:t>
      </w:r>
      <w:r w:rsidR="00645E85" w:rsidRPr="12CFA0DE">
        <w:rPr>
          <w:sz w:val="22"/>
          <w:szCs w:val="22"/>
          <w:lang w:val="en-US"/>
        </w:rPr>
        <w:t>0</w:t>
      </w:r>
      <w:r w:rsidRPr="12CFA0DE">
        <w:rPr>
          <w:sz w:val="22"/>
          <w:szCs w:val="22"/>
          <w:lang w:val="en-US"/>
        </w:rPr>
        <w:t>,000 (</w:t>
      </w:r>
      <w:r w:rsidR="006B7DE8" w:rsidRPr="12CFA0DE">
        <w:rPr>
          <w:sz w:val="22"/>
          <w:szCs w:val="22"/>
          <w:lang w:val="en-US"/>
        </w:rPr>
        <w:t>ex</w:t>
      </w:r>
      <w:r w:rsidRPr="12CFA0DE">
        <w:rPr>
          <w:sz w:val="22"/>
          <w:szCs w:val="22"/>
          <w:lang w:val="en-US"/>
        </w:rPr>
        <w:t xml:space="preserve"> VAT).</w:t>
      </w:r>
    </w:p>
    <w:p w14:paraId="21E0BA5A" w14:textId="77777777" w:rsidR="00BB2517" w:rsidRPr="002502D5" w:rsidRDefault="00BB2517" w:rsidP="00BB2517">
      <w:pPr>
        <w:numPr>
          <w:ilvl w:val="0"/>
          <w:numId w:val="1"/>
        </w:numPr>
        <w:jc w:val="both"/>
        <w:rPr>
          <w:sz w:val="22"/>
          <w:szCs w:val="22"/>
          <w:lang w:val="en-US"/>
        </w:rPr>
      </w:pPr>
      <w:r w:rsidRPr="002502D5">
        <w:rPr>
          <w:sz w:val="22"/>
          <w:szCs w:val="22"/>
          <w:lang w:val="en-GB"/>
        </w:rPr>
        <w:t>Statement on Ground for exclusion (see section 7 below)</w:t>
      </w:r>
    </w:p>
    <w:p w14:paraId="4559D6B4" w14:textId="77777777" w:rsidR="00BB2517" w:rsidRPr="002502D5" w:rsidRDefault="00BB2517" w:rsidP="00BB2517">
      <w:pPr>
        <w:jc w:val="both"/>
        <w:rPr>
          <w:sz w:val="22"/>
          <w:szCs w:val="22"/>
          <w:u w:val="single"/>
          <w:lang w:val="en-US"/>
        </w:rPr>
      </w:pPr>
      <w:r w:rsidRPr="002502D5">
        <w:rPr>
          <w:sz w:val="22"/>
          <w:szCs w:val="22"/>
          <w:u w:val="single"/>
          <w:lang w:val="en-US"/>
        </w:rPr>
        <w:t>Administrative:</w:t>
      </w:r>
    </w:p>
    <w:p w14:paraId="228E8039" w14:textId="39513F57" w:rsidR="00BB2517" w:rsidRPr="002502D5" w:rsidRDefault="00BB2517" w:rsidP="00BB2517">
      <w:pPr>
        <w:numPr>
          <w:ilvl w:val="0"/>
          <w:numId w:val="1"/>
        </w:numPr>
        <w:jc w:val="both"/>
        <w:rPr>
          <w:sz w:val="22"/>
          <w:szCs w:val="22"/>
          <w:lang w:val="en-GB"/>
        </w:rPr>
      </w:pPr>
      <w:r w:rsidRPr="41C8B85D">
        <w:rPr>
          <w:sz w:val="22"/>
          <w:szCs w:val="22"/>
          <w:lang w:val="en-GB"/>
        </w:rPr>
        <w:t>Completed detail request form (</w:t>
      </w:r>
      <w:r w:rsidR="009347D5" w:rsidRPr="41C8B85D">
        <w:rPr>
          <w:sz w:val="22"/>
          <w:szCs w:val="22"/>
          <w:lang w:val="en-GB"/>
        </w:rPr>
        <w:t xml:space="preserve">Annex </w:t>
      </w:r>
      <w:r w:rsidR="44D4338F" w:rsidRPr="41C8B85D">
        <w:rPr>
          <w:sz w:val="22"/>
          <w:szCs w:val="22"/>
          <w:lang w:val="en-GB"/>
        </w:rPr>
        <w:t>3</w:t>
      </w:r>
      <w:r w:rsidR="009347D5" w:rsidRPr="41C8B85D">
        <w:rPr>
          <w:sz w:val="22"/>
          <w:szCs w:val="22"/>
          <w:lang w:val="en-GB"/>
        </w:rPr>
        <w:t>)</w:t>
      </w:r>
    </w:p>
    <w:p w14:paraId="4FD9D376" w14:textId="77777777" w:rsidR="00BB2517" w:rsidRPr="002502D5" w:rsidRDefault="00BB2517" w:rsidP="00BB2517">
      <w:pPr>
        <w:numPr>
          <w:ilvl w:val="0"/>
          <w:numId w:val="1"/>
        </w:numPr>
        <w:jc w:val="both"/>
        <w:rPr>
          <w:sz w:val="22"/>
          <w:szCs w:val="22"/>
          <w:lang w:val="en-US"/>
        </w:rPr>
      </w:pPr>
      <w:r w:rsidRPr="002502D5">
        <w:rPr>
          <w:sz w:val="22"/>
          <w:szCs w:val="22"/>
          <w:lang w:val="en-GB"/>
        </w:rPr>
        <w:t>Copy of most recent (audited) financial accounts</w:t>
      </w:r>
    </w:p>
    <w:p w14:paraId="72923E04" w14:textId="039F09C2" w:rsidR="00BB2517" w:rsidRPr="00796D62" w:rsidRDefault="00BB2517" w:rsidP="00BB2517">
      <w:pPr>
        <w:numPr>
          <w:ilvl w:val="0"/>
          <w:numId w:val="1"/>
        </w:numPr>
        <w:jc w:val="both"/>
        <w:rPr>
          <w:sz w:val="22"/>
          <w:szCs w:val="22"/>
          <w:lang w:val="en-US"/>
        </w:rPr>
      </w:pPr>
      <w:r w:rsidRPr="00796D62">
        <w:rPr>
          <w:sz w:val="22"/>
          <w:szCs w:val="22"/>
          <w:lang w:val="en-GB"/>
        </w:rPr>
        <w:t>Statement of acceptance draft contract (</w:t>
      </w:r>
      <w:r w:rsidR="00185BCA" w:rsidRPr="00796D62">
        <w:rPr>
          <w:sz w:val="22"/>
          <w:szCs w:val="22"/>
          <w:lang w:val="en-GB"/>
        </w:rPr>
        <w:t xml:space="preserve">Annex </w:t>
      </w:r>
      <w:r w:rsidR="49AEECE3" w:rsidRPr="00796D62">
        <w:rPr>
          <w:sz w:val="22"/>
          <w:szCs w:val="22"/>
          <w:lang w:val="en-GB"/>
        </w:rPr>
        <w:t>6</w:t>
      </w:r>
      <w:r w:rsidR="00185BCA" w:rsidRPr="00796D62">
        <w:rPr>
          <w:sz w:val="22"/>
          <w:szCs w:val="22"/>
          <w:lang w:val="en-GB"/>
        </w:rPr>
        <w:t>)</w:t>
      </w:r>
    </w:p>
    <w:p w14:paraId="0B790925" w14:textId="0C74C042" w:rsidR="50F7638D" w:rsidRPr="00796D62" w:rsidRDefault="50F7638D" w:rsidP="3D9CF05A">
      <w:pPr>
        <w:numPr>
          <w:ilvl w:val="0"/>
          <w:numId w:val="1"/>
        </w:numPr>
        <w:jc w:val="both"/>
        <w:rPr>
          <w:rFonts w:eastAsia="Calibri"/>
          <w:color w:val="00615F" w:themeColor="accent1"/>
          <w:sz w:val="22"/>
          <w:szCs w:val="22"/>
          <w:lang w:val="en-GB"/>
        </w:rPr>
      </w:pPr>
      <w:r w:rsidRPr="00796D62">
        <w:rPr>
          <w:rFonts w:eastAsia="Calibri"/>
          <w:color w:val="00615E"/>
          <w:sz w:val="22"/>
          <w:szCs w:val="22"/>
          <w:lang w:val="en-GB"/>
        </w:rPr>
        <w:t>Statement of integrity (Annex 7)</w:t>
      </w:r>
    </w:p>
    <w:p w14:paraId="6F620BB9" w14:textId="77777777" w:rsidR="00BB2517" w:rsidRPr="002502D5" w:rsidRDefault="00BB2517" w:rsidP="00BB2517">
      <w:pPr>
        <w:jc w:val="both"/>
        <w:rPr>
          <w:sz w:val="22"/>
          <w:szCs w:val="22"/>
          <w:lang w:val="en-US"/>
        </w:rPr>
      </w:pPr>
    </w:p>
    <w:p w14:paraId="1F68A42E" w14:textId="64CB94B9" w:rsidR="00BB2517" w:rsidRPr="002502D5" w:rsidRDefault="00BB2517" w:rsidP="5CA244B7">
      <w:pPr>
        <w:jc w:val="both"/>
        <w:rPr>
          <w:sz w:val="22"/>
          <w:szCs w:val="22"/>
          <w:lang w:val="en-US"/>
        </w:rPr>
      </w:pPr>
      <w:r w:rsidRPr="5CA244B7">
        <w:rPr>
          <w:sz w:val="22"/>
          <w:szCs w:val="22"/>
          <w:lang w:val="en-US"/>
        </w:rPr>
        <w:lastRenderedPageBreak/>
        <w:t xml:space="preserve">The proposal must be submitted to [name] at </w:t>
      </w:r>
      <w:r w:rsidR="6E8BF22C" w:rsidRPr="5CA244B7">
        <w:rPr>
          <w:b/>
          <w:bCs/>
          <w:sz w:val="22"/>
          <w:szCs w:val="22"/>
          <w:lang w:val="en-US"/>
        </w:rPr>
        <w:t>firnanda@idhtrade.org</w:t>
      </w:r>
      <w:r w:rsidR="6E8BF22C" w:rsidRPr="5CA244B7">
        <w:rPr>
          <w:sz w:val="22"/>
          <w:szCs w:val="22"/>
          <w:lang w:val="en-US"/>
        </w:rPr>
        <w:t xml:space="preserve"> </w:t>
      </w:r>
      <w:r w:rsidRPr="5CA244B7">
        <w:rPr>
          <w:sz w:val="22"/>
          <w:szCs w:val="22"/>
          <w:lang w:val="en-US"/>
        </w:rPr>
        <w:t xml:space="preserve">before </w:t>
      </w:r>
      <w:r w:rsidR="00D10DAA">
        <w:rPr>
          <w:b/>
          <w:bCs/>
          <w:sz w:val="22"/>
          <w:szCs w:val="22"/>
          <w:lang w:val="en-US"/>
        </w:rPr>
        <w:t>15</w:t>
      </w:r>
      <w:r w:rsidR="2F506428" w:rsidRPr="5CA244B7">
        <w:rPr>
          <w:b/>
          <w:bCs/>
          <w:sz w:val="22"/>
          <w:szCs w:val="22"/>
          <w:lang w:val="en-US"/>
        </w:rPr>
        <w:t xml:space="preserve"> Dec 2023</w:t>
      </w:r>
      <w:r w:rsidR="585DB8A5" w:rsidRPr="5CA244B7">
        <w:rPr>
          <w:b/>
          <w:bCs/>
          <w:sz w:val="22"/>
          <w:szCs w:val="22"/>
          <w:lang w:val="en-US"/>
        </w:rPr>
        <w:t>,</w:t>
      </w:r>
      <w:r w:rsidRPr="5CA244B7">
        <w:rPr>
          <w:b/>
          <w:bCs/>
          <w:sz w:val="22"/>
          <w:szCs w:val="22"/>
          <w:lang w:val="en-US"/>
        </w:rPr>
        <w:t xml:space="preserve"> </w:t>
      </w:r>
      <w:r w:rsidR="135B6F6A" w:rsidRPr="5CA244B7">
        <w:rPr>
          <w:rFonts w:eastAsiaTheme="minorEastAsia"/>
          <w:b/>
          <w:bCs/>
          <w:color w:val="00615F" w:themeColor="accent1"/>
          <w:sz w:val="22"/>
          <w:szCs w:val="22"/>
          <w:lang w:val="en-US"/>
        </w:rPr>
        <w:t>23:59 GMT</w:t>
      </w:r>
      <w:r w:rsidRPr="5CA244B7">
        <w:rPr>
          <w:rFonts w:eastAsiaTheme="minorEastAsia"/>
          <w:b/>
          <w:bCs/>
          <w:color w:val="00615F" w:themeColor="accent1"/>
          <w:sz w:val="22"/>
          <w:szCs w:val="22"/>
          <w:lang w:val="en-US"/>
        </w:rPr>
        <w:t xml:space="preserve">. </w:t>
      </w:r>
    </w:p>
    <w:p w14:paraId="0B5FD299" w14:textId="77777777" w:rsidR="00E57264" w:rsidRPr="002502D5" w:rsidRDefault="00E57264" w:rsidP="00BB2517">
      <w:pPr>
        <w:jc w:val="both"/>
        <w:rPr>
          <w:sz w:val="22"/>
          <w:szCs w:val="22"/>
          <w:lang w:val="en-US"/>
        </w:rPr>
      </w:pPr>
    </w:p>
    <w:p w14:paraId="0C6F48D0" w14:textId="77777777" w:rsidR="00BB2517" w:rsidRPr="002502D5" w:rsidRDefault="00BB2517" w:rsidP="00FC0A82">
      <w:pPr>
        <w:pStyle w:val="Headingnew"/>
      </w:pPr>
      <w:r w:rsidRPr="75780697">
        <w:t>Testing and weighing</w:t>
      </w:r>
    </w:p>
    <w:p w14:paraId="24490DB5" w14:textId="77777777" w:rsidR="00BB2517" w:rsidRPr="002502D5" w:rsidRDefault="00BB2517" w:rsidP="00BB2517">
      <w:pPr>
        <w:jc w:val="both"/>
        <w:rPr>
          <w:sz w:val="22"/>
          <w:szCs w:val="22"/>
          <w:lang w:val="en-GB"/>
        </w:rPr>
      </w:pPr>
      <w:r w:rsidRPr="002502D5">
        <w:rPr>
          <w:sz w:val="22"/>
          <w:szCs w:val="22"/>
          <w:lang w:val="en-GB"/>
        </w:rPr>
        <w:t xml:space="preserve">The assignment will be awarded to the service provider with the most economically advantageous tender. The most economically advantageous tender is determined </w:t>
      </w:r>
      <w:proofErr w:type="gramStart"/>
      <w:r w:rsidRPr="002502D5">
        <w:rPr>
          <w:sz w:val="22"/>
          <w:szCs w:val="22"/>
          <w:lang w:val="en-GB"/>
        </w:rPr>
        <w:t>on the basis of</w:t>
      </w:r>
      <w:proofErr w:type="gramEnd"/>
      <w:r w:rsidRPr="002502D5">
        <w:rPr>
          <w:sz w:val="22"/>
          <w:szCs w:val="22"/>
          <w:lang w:val="en-GB"/>
        </w:rPr>
        <w:t xml:space="preserve"> the evaluation criteria of price and quality. </w:t>
      </w:r>
    </w:p>
    <w:p w14:paraId="219FB0CC" w14:textId="77777777" w:rsidR="00BB2517" w:rsidRPr="002502D5" w:rsidRDefault="00BB2517" w:rsidP="00BB2517">
      <w:pPr>
        <w:jc w:val="both"/>
        <w:rPr>
          <w:sz w:val="22"/>
          <w:szCs w:val="22"/>
          <w:u w:val="single"/>
          <w:lang w:val="en-GB"/>
        </w:rPr>
      </w:pPr>
      <w:r w:rsidRPr="002502D5">
        <w:rPr>
          <w:sz w:val="22"/>
          <w:szCs w:val="22"/>
          <w:u w:val="single"/>
          <w:lang w:val="en-GB"/>
        </w:rPr>
        <w:t xml:space="preserve">Grounds for exclusion </w:t>
      </w:r>
    </w:p>
    <w:p w14:paraId="064E4600" w14:textId="77777777" w:rsidR="00BB2517" w:rsidRPr="002502D5" w:rsidRDefault="00BB2517" w:rsidP="00BB2517">
      <w:pPr>
        <w:numPr>
          <w:ilvl w:val="0"/>
          <w:numId w:val="3"/>
        </w:numPr>
        <w:jc w:val="both"/>
        <w:rPr>
          <w:sz w:val="22"/>
          <w:szCs w:val="22"/>
          <w:lang w:val="en-US"/>
        </w:rPr>
      </w:pPr>
      <w:r w:rsidRPr="002502D5">
        <w:rPr>
          <w:sz w:val="22"/>
          <w:szCs w:val="22"/>
          <w:lang w:val="en-US"/>
        </w:rPr>
        <w:t xml:space="preserve">Service providers shall be excluded from participation in this tender procedure if: </w:t>
      </w:r>
    </w:p>
    <w:p w14:paraId="03E010D8" w14:textId="77777777" w:rsidR="00BB2517" w:rsidRPr="002502D5" w:rsidRDefault="00BB2517" w:rsidP="00BB2517">
      <w:pPr>
        <w:numPr>
          <w:ilvl w:val="0"/>
          <w:numId w:val="2"/>
        </w:numPr>
        <w:jc w:val="both"/>
        <w:rPr>
          <w:sz w:val="22"/>
          <w:szCs w:val="22"/>
          <w:lang w:val="en-US"/>
        </w:rPr>
      </w:pPr>
      <w:r w:rsidRPr="002502D5">
        <w:rPr>
          <w:sz w:val="22"/>
          <w:szCs w:val="22"/>
          <w:lang w:val="en-US"/>
        </w:rPr>
        <w:t xml:space="preserve">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w:t>
      </w:r>
    </w:p>
    <w:p w14:paraId="45F2F3B4" w14:textId="77777777" w:rsidR="00BB2517" w:rsidRPr="002502D5" w:rsidRDefault="00BB2517" w:rsidP="00BB2517">
      <w:pPr>
        <w:numPr>
          <w:ilvl w:val="0"/>
          <w:numId w:val="2"/>
        </w:numPr>
        <w:jc w:val="both"/>
        <w:rPr>
          <w:sz w:val="22"/>
          <w:szCs w:val="22"/>
          <w:lang w:val="en-US"/>
        </w:rPr>
      </w:pPr>
      <w:r w:rsidRPr="002502D5">
        <w:rPr>
          <w:sz w:val="22"/>
          <w:szCs w:val="22"/>
          <w:lang w:val="en-US"/>
        </w:rPr>
        <w:t xml:space="preserve">they or persons having powers of representation, decision-making or control over them have been convicted of an offence concerning their professional conduct by a judgment which has the force of res judicata; </w:t>
      </w:r>
    </w:p>
    <w:p w14:paraId="147C13F0" w14:textId="77777777" w:rsidR="00BB2517" w:rsidRPr="002502D5" w:rsidRDefault="00BB2517" w:rsidP="00BB2517">
      <w:pPr>
        <w:numPr>
          <w:ilvl w:val="0"/>
          <w:numId w:val="2"/>
        </w:numPr>
        <w:jc w:val="both"/>
        <w:rPr>
          <w:sz w:val="22"/>
          <w:szCs w:val="22"/>
          <w:lang w:val="en-US"/>
        </w:rPr>
      </w:pPr>
      <w:r w:rsidRPr="002502D5">
        <w:rPr>
          <w:sz w:val="22"/>
          <w:szCs w:val="22"/>
          <w:lang w:val="en-US"/>
        </w:rPr>
        <w:t xml:space="preserve">they have been guilty of grave professional misconduct proven by any means which the IDH can justify; </w:t>
      </w:r>
    </w:p>
    <w:p w14:paraId="7715A5F7" w14:textId="77777777" w:rsidR="00BB2517" w:rsidRPr="002502D5" w:rsidRDefault="00BB2517" w:rsidP="00BB2517">
      <w:pPr>
        <w:numPr>
          <w:ilvl w:val="0"/>
          <w:numId w:val="2"/>
        </w:numPr>
        <w:jc w:val="both"/>
        <w:rPr>
          <w:sz w:val="22"/>
          <w:szCs w:val="22"/>
          <w:lang w:val="en-US"/>
        </w:rPr>
      </w:pPr>
      <w:r w:rsidRPr="002502D5">
        <w:rPr>
          <w:sz w:val="22"/>
          <w:szCs w:val="22"/>
          <w:lang w:val="en-US"/>
        </w:rPr>
        <w:t xml:space="preserve">they have not fulfilled obligations relating to the payment of social security contributions or the payment of taxes in accordance with the legal provisions of the country in which they are established, or with those of the Netherlands or those of the country where the contract is to be performed; </w:t>
      </w:r>
    </w:p>
    <w:p w14:paraId="148CF563" w14:textId="77777777" w:rsidR="00BB2517" w:rsidRPr="002502D5" w:rsidRDefault="00BB2517" w:rsidP="00BB2517">
      <w:pPr>
        <w:numPr>
          <w:ilvl w:val="0"/>
          <w:numId w:val="2"/>
        </w:numPr>
        <w:jc w:val="both"/>
        <w:rPr>
          <w:sz w:val="22"/>
          <w:szCs w:val="22"/>
          <w:lang w:val="en-US"/>
        </w:rPr>
      </w:pPr>
      <w:r w:rsidRPr="002502D5">
        <w:rPr>
          <w:sz w:val="22"/>
          <w:szCs w:val="22"/>
          <w:lang w:val="en-US"/>
        </w:rPr>
        <w:t>they or persons having powers of representation, decision making of control over them have been the subject of a judgment which has the force of res judicata for fraud, corruption, involvement in a criminal organization, money laundering or any other illegal activity.</w:t>
      </w:r>
    </w:p>
    <w:p w14:paraId="7EAE85CB" w14:textId="5254DD83" w:rsidR="00BB2517" w:rsidRPr="002502D5" w:rsidRDefault="00BB2517" w:rsidP="00BB2517">
      <w:pPr>
        <w:jc w:val="both"/>
        <w:rPr>
          <w:b/>
          <w:sz w:val="22"/>
          <w:szCs w:val="22"/>
          <w:lang w:val="en-US"/>
        </w:rPr>
      </w:pPr>
      <w:r w:rsidRPr="002502D5">
        <w:rPr>
          <w:b/>
          <w:sz w:val="22"/>
          <w:szCs w:val="22"/>
          <w:lang w:val="en-US"/>
        </w:rPr>
        <w:t xml:space="preserve">Service providers must confirm in writing that they are not in one of the </w:t>
      </w:r>
      <w:r w:rsidR="00EF4CD0" w:rsidRPr="002502D5">
        <w:rPr>
          <w:b/>
          <w:sz w:val="22"/>
          <w:szCs w:val="22"/>
          <w:lang w:val="en-US"/>
        </w:rPr>
        <w:t>situations</w:t>
      </w:r>
      <w:r w:rsidRPr="002502D5">
        <w:rPr>
          <w:b/>
          <w:sz w:val="22"/>
          <w:szCs w:val="22"/>
          <w:lang w:val="en-US"/>
        </w:rPr>
        <w:t xml:space="preserve"> listed above.</w:t>
      </w:r>
    </w:p>
    <w:p w14:paraId="084FAABF" w14:textId="77777777" w:rsidR="00BB2517" w:rsidRPr="002502D5" w:rsidRDefault="00BB2517" w:rsidP="00BB2517">
      <w:pPr>
        <w:numPr>
          <w:ilvl w:val="0"/>
          <w:numId w:val="3"/>
        </w:numPr>
        <w:jc w:val="both"/>
        <w:rPr>
          <w:sz w:val="22"/>
          <w:szCs w:val="22"/>
          <w:lang w:val="en-US"/>
        </w:rPr>
      </w:pPr>
      <w:r w:rsidRPr="002502D5">
        <w:rPr>
          <w:sz w:val="22"/>
          <w:szCs w:val="22"/>
          <w:lang w:val="en-US"/>
        </w:rPr>
        <w:t>Service providers shall not make use of child labor or forced labor and/or practice discrimination and they shall respect the right to freedom of association and the right to organize and engage in collective bargaining, in accordance with the core conventions of the International Labor Organization (ILO).</w:t>
      </w:r>
    </w:p>
    <w:p w14:paraId="7175481C" w14:textId="77777777" w:rsidR="00BB2517" w:rsidRPr="002502D5" w:rsidRDefault="00BB2517" w:rsidP="00BB2517">
      <w:pPr>
        <w:jc w:val="both"/>
        <w:rPr>
          <w:sz w:val="22"/>
          <w:szCs w:val="22"/>
          <w:u w:val="single"/>
          <w:lang w:val="en-GB"/>
        </w:rPr>
      </w:pPr>
      <w:r w:rsidRPr="002502D5">
        <w:rPr>
          <w:sz w:val="22"/>
          <w:szCs w:val="22"/>
          <w:u w:val="single"/>
          <w:lang w:val="en-GB"/>
        </w:rPr>
        <w:t>Scoring and weighing</w:t>
      </w:r>
    </w:p>
    <w:p w14:paraId="092355B4" w14:textId="54A51B18" w:rsidR="00801880" w:rsidRDefault="00801880" w:rsidP="00801880">
      <w:pPr>
        <w:rPr>
          <w:sz w:val="22"/>
          <w:szCs w:val="22"/>
          <w:lang w:val="en-US"/>
        </w:rPr>
      </w:pPr>
      <w:r w:rsidRPr="002502D5">
        <w:rPr>
          <w:sz w:val="22"/>
          <w:szCs w:val="22"/>
          <w:lang w:val="en-US"/>
        </w:rPr>
        <w:t>The proposal will</w:t>
      </w:r>
      <w:r w:rsidR="00977BC4">
        <w:rPr>
          <w:sz w:val="22"/>
          <w:szCs w:val="22"/>
          <w:lang w:val="en-US"/>
        </w:rPr>
        <w:t xml:space="preserve"> be</w:t>
      </w:r>
      <w:r w:rsidRPr="002502D5">
        <w:rPr>
          <w:sz w:val="22"/>
          <w:szCs w:val="22"/>
          <w:lang w:val="en-US"/>
        </w:rPr>
        <w:t xml:space="preserve"> </w:t>
      </w:r>
      <w:r w:rsidR="00AF427D">
        <w:rPr>
          <w:sz w:val="22"/>
          <w:szCs w:val="22"/>
          <w:lang w:val="en-US"/>
        </w:rPr>
        <w:t xml:space="preserve">assessed </w:t>
      </w:r>
      <w:r w:rsidRPr="002502D5">
        <w:rPr>
          <w:sz w:val="22"/>
          <w:szCs w:val="22"/>
          <w:lang w:val="en-US"/>
        </w:rPr>
        <w:t>on the basis of the evaluation criteria:</w:t>
      </w:r>
    </w:p>
    <w:p w14:paraId="0E4C8476" w14:textId="77777777" w:rsidR="00413D59" w:rsidRDefault="00413D59" w:rsidP="00801880">
      <w:pPr>
        <w:rPr>
          <w:sz w:val="22"/>
          <w:szCs w:val="22"/>
          <w:lang w:val="en-US"/>
        </w:rPr>
      </w:pPr>
    </w:p>
    <w:p w14:paraId="2CD52D05" w14:textId="77777777" w:rsidR="00413D59" w:rsidRPr="002502D5" w:rsidRDefault="00413D59" w:rsidP="00801880">
      <w:pPr>
        <w:rPr>
          <w:sz w:val="22"/>
          <w:szCs w:val="22"/>
          <w:lang w:val="en-US"/>
        </w:rPr>
      </w:pPr>
    </w:p>
    <w:tbl>
      <w:tblPr>
        <w:tblW w:w="8959" w:type="dxa"/>
        <w:tblInd w:w="108" w:type="dxa"/>
        <w:tblBorders>
          <w:top w:val="single" w:sz="8" w:space="0" w:color="FFFFFF" w:themeColor="background2"/>
          <w:left w:val="single" w:sz="8" w:space="0" w:color="FFFFFF" w:themeColor="background2"/>
          <w:bottom w:val="single" w:sz="8" w:space="0" w:color="FFFFFF" w:themeColor="background2"/>
          <w:right w:val="single" w:sz="8" w:space="0" w:color="FFFFFF" w:themeColor="background2"/>
          <w:insideH w:val="single" w:sz="8" w:space="0" w:color="FFFFFF" w:themeColor="background2"/>
          <w:insideV w:val="single" w:sz="8" w:space="0" w:color="FFFFFF" w:themeColor="background2"/>
        </w:tblBorders>
        <w:shd w:val="clear" w:color="auto" w:fill="CDD4E9"/>
        <w:tblLayout w:type="fixed"/>
        <w:tblLook w:val="04A0" w:firstRow="1" w:lastRow="0" w:firstColumn="1" w:lastColumn="0" w:noHBand="0" w:noVBand="1"/>
      </w:tblPr>
      <w:tblGrid>
        <w:gridCol w:w="1447"/>
        <w:gridCol w:w="6095"/>
        <w:gridCol w:w="1417"/>
      </w:tblGrid>
      <w:tr w:rsidR="00AF427D" w:rsidRPr="002502D5" w14:paraId="01C876C6" w14:textId="77777777" w:rsidTr="12CFA0DE">
        <w:trPr>
          <w:trHeight w:val="291"/>
        </w:trPr>
        <w:tc>
          <w:tcPr>
            <w:tcW w:w="1447" w:type="dxa"/>
            <w:tcBorders>
              <w:top w:val="single" w:sz="4" w:space="0" w:color="000000"/>
              <w:left w:val="single" w:sz="4" w:space="0" w:color="000000"/>
              <w:bottom w:val="single" w:sz="4" w:space="0" w:color="000000"/>
              <w:right w:val="single" w:sz="4" w:space="0" w:color="000000"/>
            </w:tcBorders>
            <w:shd w:val="clear" w:color="auto" w:fill="00615F" w:themeFill="accent1"/>
            <w:tcMar>
              <w:top w:w="80" w:type="dxa"/>
              <w:left w:w="80" w:type="dxa"/>
              <w:bottom w:w="80" w:type="dxa"/>
              <w:right w:w="80" w:type="dxa"/>
            </w:tcMar>
          </w:tcPr>
          <w:p w14:paraId="2B9B8AB9" w14:textId="456705F3" w:rsidR="00AF427D" w:rsidRPr="002502D5" w:rsidRDefault="006B7DE8" w:rsidP="3D9CF05A">
            <w:pPr>
              <w:spacing w:before="100" w:beforeAutospacing="1" w:after="100" w:afterAutospacing="1"/>
              <w:rPr>
                <w:rFonts w:eastAsiaTheme="minorEastAsia" w:cstheme="minorBidi"/>
                <w:b/>
                <w:bCs/>
                <w:color w:val="FFFFFF" w:themeColor="background1"/>
                <w:sz w:val="22"/>
                <w:szCs w:val="22"/>
              </w:rPr>
            </w:pPr>
            <w:r w:rsidRPr="12CFA0DE">
              <w:rPr>
                <w:rFonts w:eastAsiaTheme="minorEastAsia" w:cstheme="minorBidi"/>
                <w:b/>
                <w:bCs/>
                <w:color w:val="FFFFFF" w:themeColor="background2"/>
                <w:sz w:val="22"/>
                <w:szCs w:val="22"/>
              </w:rPr>
              <w:t>Scoring criteria</w:t>
            </w:r>
          </w:p>
        </w:tc>
        <w:tc>
          <w:tcPr>
            <w:tcW w:w="6095" w:type="dxa"/>
            <w:tcBorders>
              <w:top w:val="single" w:sz="4" w:space="0" w:color="000000"/>
              <w:left w:val="single" w:sz="4" w:space="0" w:color="000000"/>
              <w:bottom w:val="single" w:sz="4" w:space="0" w:color="000000"/>
              <w:right w:val="single" w:sz="4" w:space="0" w:color="000000"/>
            </w:tcBorders>
            <w:shd w:val="clear" w:color="auto" w:fill="00615F" w:themeFill="accent1"/>
          </w:tcPr>
          <w:p w14:paraId="67377D83" w14:textId="1E063620" w:rsidR="00AF427D" w:rsidRPr="002502D5" w:rsidRDefault="006B7DE8" w:rsidP="00AF427D">
            <w:pPr>
              <w:spacing w:before="100" w:beforeAutospacing="1" w:after="100" w:afterAutospacing="1"/>
              <w:rPr>
                <w:rFonts w:eastAsiaTheme="minorEastAsia" w:cstheme="minorHAnsi"/>
                <w:b/>
                <w:color w:val="FFFFFF" w:themeColor="background1"/>
                <w:sz w:val="22"/>
                <w:szCs w:val="22"/>
              </w:rPr>
            </w:pPr>
            <w:r>
              <w:rPr>
                <w:rFonts w:eastAsiaTheme="minorEastAsia" w:cstheme="minorHAnsi"/>
                <w:b/>
                <w:color w:val="FFFFFF" w:themeColor="background1"/>
                <w:sz w:val="22"/>
                <w:szCs w:val="22"/>
              </w:rPr>
              <w:t>Description</w:t>
            </w:r>
          </w:p>
        </w:tc>
        <w:tc>
          <w:tcPr>
            <w:tcW w:w="1417" w:type="dxa"/>
            <w:tcBorders>
              <w:top w:val="single" w:sz="4" w:space="0" w:color="000000"/>
              <w:left w:val="single" w:sz="4" w:space="0" w:color="000000"/>
              <w:bottom w:val="single" w:sz="4" w:space="0" w:color="000000"/>
              <w:right w:val="single" w:sz="4" w:space="0" w:color="000000"/>
            </w:tcBorders>
            <w:shd w:val="clear" w:color="auto" w:fill="00615F" w:themeFill="accent1"/>
            <w:tcMar>
              <w:top w:w="80" w:type="dxa"/>
              <w:left w:w="80" w:type="dxa"/>
              <w:bottom w:w="80" w:type="dxa"/>
              <w:right w:w="80" w:type="dxa"/>
            </w:tcMar>
          </w:tcPr>
          <w:p w14:paraId="092594C1" w14:textId="409DD8A6" w:rsidR="00AF427D" w:rsidRPr="002502D5" w:rsidRDefault="00AF427D" w:rsidP="00AF427D">
            <w:pPr>
              <w:spacing w:before="100" w:beforeAutospacing="1" w:after="100" w:afterAutospacing="1"/>
              <w:rPr>
                <w:rFonts w:eastAsiaTheme="minorEastAsia" w:cstheme="minorHAnsi"/>
                <w:b/>
                <w:color w:val="FFFFFF" w:themeColor="background1"/>
                <w:sz w:val="22"/>
                <w:szCs w:val="22"/>
              </w:rPr>
            </w:pPr>
            <w:r w:rsidRPr="002502D5">
              <w:rPr>
                <w:rFonts w:eastAsiaTheme="minorEastAsia" w:cstheme="minorHAnsi"/>
                <w:b/>
                <w:color w:val="FFFFFF" w:themeColor="background1"/>
                <w:sz w:val="22"/>
                <w:szCs w:val="22"/>
              </w:rPr>
              <w:t>Weight</w:t>
            </w:r>
          </w:p>
        </w:tc>
      </w:tr>
      <w:tr w:rsidR="00AF427D" w:rsidRPr="002502D5" w14:paraId="4724CEEA" w14:textId="77777777" w:rsidTr="12CFA0DE">
        <w:trPr>
          <w:trHeight w:val="293"/>
        </w:trPr>
        <w:tc>
          <w:tcPr>
            <w:tcW w:w="1447" w:type="dxa"/>
            <w:tcBorders>
              <w:top w:val="single" w:sz="4" w:space="0" w:color="000000"/>
              <w:left w:val="single" w:sz="4" w:space="0" w:color="000000"/>
              <w:bottom w:val="single" w:sz="4" w:space="0" w:color="000000"/>
              <w:right w:val="single" w:sz="4" w:space="0" w:color="000000"/>
            </w:tcBorders>
            <w:shd w:val="clear" w:color="auto" w:fill="FFFFFF" w:themeFill="background2"/>
            <w:tcMar>
              <w:top w:w="80" w:type="dxa"/>
              <w:left w:w="80" w:type="dxa"/>
              <w:bottom w:w="80" w:type="dxa"/>
              <w:right w:w="80" w:type="dxa"/>
            </w:tcMar>
          </w:tcPr>
          <w:p w14:paraId="3FA906BB" w14:textId="784C05C7" w:rsidR="00AF427D" w:rsidRPr="002502D5" w:rsidRDefault="06F68FAA" w:rsidP="013D97ED">
            <w:pPr>
              <w:pBdr>
                <w:top w:val="nil"/>
                <w:left w:val="nil"/>
                <w:bottom w:val="nil"/>
                <w:right w:val="nil"/>
                <w:between w:val="nil"/>
                <w:bar w:val="nil"/>
              </w:pBdr>
              <w:spacing w:before="100" w:beforeAutospacing="1" w:after="100" w:afterAutospacing="1"/>
              <w:rPr>
                <w:rFonts w:cstheme="minorBidi"/>
                <w:sz w:val="22"/>
                <w:szCs w:val="22"/>
              </w:rPr>
            </w:pPr>
            <w:r w:rsidRPr="013D97ED">
              <w:rPr>
                <w:rFonts w:cstheme="minorBidi"/>
                <w:sz w:val="22"/>
                <w:szCs w:val="22"/>
              </w:rPr>
              <w:t>Methodology and approach</w:t>
            </w:r>
          </w:p>
        </w:tc>
        <w:tc>
          <w:tcPr>
            <w:tcW w:w="6095" w:type="dxa"/>
            <w:tcBorders>
              <w:top w:val="single" w:sz="4" w:space="0" w:color="000000"/>
              <w:left w:val="single" w:sz="4" w:space="0" w:color="000000"/>
              <w:bottom w:val="single" w:sz="4" w:space="0" w:color="000000"/>
              <w:right w:val="single" w:sz="4" w:space="0" w:color="000000"/>
            </w:tcBorders>
          </w:tcPr>
          <w:p w14:paraId="5FED097D" w14:textId="0B80EE0F" w:rsidR="00CB6E69" w:rsidRPr="002502D5" w:rsidRDefault="06F68FAA" w:rsidP="12CFA0DE">
            <w:pPr>
              <w:spacing w:beforeAutospacing="1" w:afterAutospacing="1"/>
              <w:rPr>
                <w:sz w:val="22"/>
                <w:szCs w:val="22"/>
                <w:lang w:val="en-GB"/>
              </w:rPr>
            </w:pPr>
            <w:r w:rsidRPr="12CFA0DE">
              <w:rPr>
                <w:sz w:val="22"/>
                <w:szCs w:val="22"/>
              </w:rPr>
              <w:t>The</w:t>
            </w:r>
            <w:r w:rsidRPr="12CFA0DE">
              <w:rPr>
                <w:sz w:val="22"/>
                <w:szCs w:val="22"/>
                <w:lang w:val="en-GB"/>
              </w:rPr>
              <w:t xml:space="preserve"> extent to which the Service provider provides a clear</w:t>
            </w:r>
            <w:r w:rsidRPr="12CFA0DE">
              <w:rPr>
                <w:sz w:val="22"/>
                <w:szCs w:val="22"/>
                <w:lang w:val="en-US"/>
              </w:rPr>
              <w:t xml:space="preserve"> description of </w:t>
            </w:r>
            <w:r w:rsidRPr="12CFA0DE">
              <w:rPr>
                <w:sz w:val="22"/>
                <w:szCs w:val="22"/>
              </w:rPr>
              <w:t>a methodology to develop knowledge products</w:t>
            </w:r>
            <w:r w:rsidRPr="12CFA0DE">
              <w:rPr>
                <w:sz w:val="22"/>
                <w:szCs w:val="22"/>
                <w:lang w:val="en-US"/>
              </w:rPr>
              <w:t xml:space="preserve"> and relevant formats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3FFAF" w14:textId="35E50546" w:rsidR="00AF427D" w:rsidRPr="002502D5" w:rsidRDefault="3F34DE77" w:rsidP="013D97ED">
            <w:pPr>
              <w:pBdr>
                <w:top w:val="nil"/>
                <w:left w:val="nil"/>
                <w:bottom w:val="nil"/>
                <w:right w:val="nil"/>
                <w:between w:val="nil"/>
                <w:bar w:val="nil"/>
              </w:pBdr>
              <w:spacing w:before="100" w:beforeAutospacing="1" w:after="100" w:afterAutospacing="1"/>
              <w:rPr>
                <w:rFonts w:cstheme="minorBidi"/>
                <w:sz w:val="22"/>
                <w:szCs w:val="22"/>
              </w:rPr>
            </w:pPr>
            <w:r w:rsidRPr="013D97ED">
              <w:rPr>
                <w:rFonts w:cstheme="minorBidi"/>
                <w:sz w:val="22"/>
                <w:szCs w:val="22"/>
              </w:rPr>
              <w:t>45</w:t>
            </w:r>
            <w:r w:rsidR="00AF427D" w:rsidRPr="013D97ED">
              <w:rPr>
                <w:rFonts w:cstheme="minorBidi"/>
                <w:sz w:val="22"/>
                <w:szCs w:val="22"/>
              </w:rPr>
              <w:t>%</w:t>
            </w:r>
          </w:p>
        </w:tc>
      </w:tr>
      <w:tr w:rsidR="013D97ED" w14:paraId="29A5DA39" w14:textId="77777777" w:rsidTr="12CFA0DE">
        <w:trPr>
          <w:trHeight w:val="293"/>
        </w:trPr>
        <w:tc>
          <w:tcPr>
            <w:tcW w:w="1447" w:type="dxa"/>
            <w:tcBorders>
              <w:top w:val="single" w:sz="4" w:space="0" w:color="000000"/>
              <w:left w:val="single" w:sz="4" w:space="0" w:color="000000"/>
              <w:bottom w:val="single" w:sz="4" w:space="0" w:color="000000"/>
              <w:right w:val="single" w:sz="4" w:space="0" w:color="000000"/>
            </w:tcBorders>
            <w:shd w:val="clear" w:color="auto" w:fill="FFFFFF" w:themeFill="background2"/>
            <w:tcMar>
              <w:top w:w="80" w:type="dxa"/>
              <w:left w:w="80" w:type="dxa"/>
              <w:bottom w:w="80" w:type="dxa"/>
              <w:right w:w="80" w:type="dxa"/>
            </w:tcMar>
          </w:tcPr>
          <w:p w14:paraId="2A69DC6A" w14:textId="35BFAE72" w:rsidR="013D97ED" w:rsidRDefault="013D97ED" w:rsidP="013D97ED">
            <w:pPr>
              <w:pBdr>
                <w:top w:val="nil"/>
                <w:left w:val="nil"/>
                <w:bottom w:val="nil"/>
                <w:right w:val="nil"/>
                <w:between w:val="nil"/>
                <w:bar w:val="nil"/>
              </w:pBdr>
              <w:spacing w:beforeAutospacing="1" w:afterAutospacing="1"/>
              <w:rPr>
                <w:rFonts w:cstheme="minorBidi"/>
                <w:sz w:val="22"/>
                <w:szCs w:val="22"/>
              </w:rPr>
            </w:pPr>
            <w:r w:rsidRPr="013D97ED">
              <w:rPr>
                <w:rFonts w:cstheme="minorBidi"/>
                <w:sz w:val="22"/>
                <w:szCs w:val="22"/>
              </w:rPr>
              <w:t>Track record knowledge products</w:t>
            </w:r>
          </w:p>
        </w:tc>
        <w:tc>
          <w:tcPr>
            <w:tcW w:w="6095" w:type="dxa"/>
            <w:tcBorders>
              <w:top w:val="single" w:sz="4" w:space="0" w:color="000000"/>
              <w:left w:val="single" w:sz="4" w:space="0" w:color="000000"/>
              <w:bottom w:val="single" w:sz="4" w:space="0" w:color="000000"/>
              <w:right w:val="single" w:sz="4" w:space="0" w:color="000000"/>
            </w:tcBorders>
          </w:tcPr>
          <w:p w14:paraId="70A5DDFF" w14:textId="77777777" w:rsidR="013D97ED" w:rsidRDefault="013D97ED" w:rsidP="013D97ED">
            <w:pPr>
              <w:pBdr>
                <w:top w:val="nil"/>
                <w:left w:val="nil"/>
                <w:bottom w:val="nil"/>
                <w:right w:val="nil"/>
                <w:between w:val="nil"/>
                <w:bar w:val="nil"/>
              </w:pBdr>
              <w:spacing w:beforeAutospacing="1" w:afterAutospacing="1"/>
              <w:rPr>
                <w:sz w:val="22"/>
                <w:szCs w:val="22"/>
                <w:lang w:val="en-GB"/>
              </w:rPr>
            </w:pPr>
            <w:r w:rsidRPr="013D97ED">
              <w:rPr>
                <w:sz w:val="22"/>
                <w:szCs w:val="22"/>
                <w:lang w:val="en-GB"/>
              </w:rPr>
              <w:t>The extent to which the Service provider presents the required level of experience and expertise to fulfil the requirements both at team member and company level.</w:t>
            </w:r>
          </w:p>
          <w:p w14:paraId="7FB0F474" w14:textId="62B75C17" w:rsidR="013D97ED" w:rsidRDefault="013D97ED" w:rsidP="013D97ED">
            <w:pPr>
              <w:pBdr>
                <w:top w:val="nil"/>
                <w:left w:val="nil"/>
                <w:bottom w:val="nil"/>
                <w:right w:val="nil"/>
                <w:between w:val="nil"/>
                <w:bar w:val="nil"/>
              </w:pBdr>
              <w:spacing w:beforeAutospacing="1" w:afterAutospacing="1"/>
              <w:rPr>
                <w:rFonts w:cstheme="minorBidi"/>
                <w:sz w:val="22"/>
                <w:szCs w:val="22"/>
              </w:rPr>
            </w:pPr>
            <w:r w:rsidRPr="013D97ED">
              <w:rPr>
                <w:sz w:val="22"/>
                <w:szCs w:val="22"/>
                <w:lang w:val="en-GB"/>
              </w:rPr>
              <w:t>(Illustrated by two samples of work, to be handled in confidentiality)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DA733" w14:textId="35E50546" w:rsidR="544C8A06" w:rsidRDefault="544C8A06" w:rsidP="013D97ED">
            <w:pPr>
              <w:pBdr>
                <w:top w:val="nil"/>
                <w:left w:val="nil"/>
                <w:bottom w:val="nil"/>
                <w:right w:val="nil"/>
                <w:between w:val="nil"/>
                <w:bar w:val="nil"/>
              </w:pBdr>
              <w:spacing w:beforeAutospacing="1" w:afterAutospacing="1"/>
              <w:rPr>
                <w:rFonts w:cstheme="minorBidi"/>
                <w:sz w:val="22"/>
                <w:szCs w:val="22"/>
              </w:rPr>
            </w:pPr>
            <w:r w:rsidRPr="013D97ED">
              <w:rPr>
                <w:rFonts w:cstheme="minorBidi"/>
                <w:sz w:val="22"/>
                <w:szCs w:val="22"/>
              </w:rPr>
              <w:t>45%</w:t>
            </w:r>
          </w:p>
          <w:p w14:paraId="756642D6" w14:textId="686701A1" w:rsidR="013D97ED" w:rsidRDefault="013D97ED" w:rsidP="013D97ED">
            <w:pPr>
              <w:rPr>
                <w:rFonts w:cstheme="minorBidi"/>
                <w:sz w:val="22"/>
                <w:szCs w:val="22"/>
              </w:rPr>
            </w:pPr>
          </w:p>
        </w:tc>
      </w:tr>
      <w:tr w:rsidR="00D74310" w:rsidRPr="002502D5" w14:paraId="6B0D8C89" w14:textId="77777777" w:rsidTr="12CFA0DE">
        <w:trPr>
          <w:trHeight w:val="293"/>
        </w:trPr>
        <w:tc>
          <w:tcPr>
            <w:tcW w:w="1447" w:type="dxa"/>
            <w:tcBorders>
              <w:top w:val="single" w:sz="4" w:space="0" w:color="000000"/>
              <w:left w:val="single" w:sz="4" w:space="0" w:color="000000"/>
              <w:bottom w:val="single" w:sz="4" w:space="0" w:color="000000"/>
              <w:right w:val="single" w:sz="4" w:space="0" w:color="000000"/>
            </w:tcBorders>
            <w:shd w:val="clear" w:color="auto" w:fill="FFFFFF" w:themeFill="background2"/>
            <w:tcMar>
              <w:top w:w="80" w:type="dxa"/>
              <w:left w:w="80" w:type="dxa"/>
              <w:bottom w:w="80" w:type="dxa"/>
              <w:right w:w="80" w:type="dxa"/>
            </w:tcMar>
          </w:tcPr>
          <w:p w14:paraId="38D746F2" w14:textId="71B209D9" w:rsidR="00D74310" w:rsidRDefault="00D74310" w:rsidP="00AF427D">
            <w:pPr>
              <w:pBdr>
                <w:top w:val="nil"/>
                <w:left w:val="nil"/>
                <w:bottom w:val="nil"/>
                <w:right w:val="nil"/>
                <w:between w:val="nil"/>
                <w:bar w:val="nil"/>
              </w:pBdr>
              <w:spacing w:before="100" w:beforeAutospacing="1" w:after="100" w:afterAutospacing="1"/>
              <w:rPr>
                <w:rFonts w:cstheme="minorHAnsi"/>
                <w:sz w:val="22"/>
                <w:szCs w:val="22"/>
              </w:rPr>
            </w:pPr>
            <w:r>
              <w:rPr>
                <w:rFonts w:cstheme="minorHAnsi"/>
                <w:sz w:val="22"/>
                <w:szCs w:val="22"/>
              </w:rPr>
              <w:t>Price</w:t>
            </w:r>
          </w:p>
        </w:tc>
        <w:tc>
          <w:tcPr>
            <w:tcW w:w="6095" w:type="dxa"/>
            <w:tcBorders>
              <w:top w:val="single" w:sz="4" w:space="0" w:color="000000"/>
              <w:left w:val="single" w:sz="4" w:space="0" w:color="000000"/>
              <w:bottom w:val="single" w:sz="4" w:space="0" w:color="000000"/>
              <w:right w:val="single" w:sz="4" w:space="0" w:color="000000"/>
            </w:tcBorders>
          </w:tcPr>
          <w:p w14:paraId="35C99126" w14:textId="56771883" w:rsidR="00D74310" w:rsidRPr="00BB2517" w:rsidRDefault="00CB6E69" w:rsidP="00AF427D">
            <w:pPr>
              <w:pBdr>
                <w:top w:val="nil"/>
                <w:left w:val="nil"/>
                <w:bottom w:val="nil"/>
                <w:right w:val="nil"/>
                <w:between w:val="nil"/>
                <w:bar w:val="nil"/>
              </w:pBdr>
              <w:spacing w:before="100" w:beforeAutospacing="1" w:after="100" w:afterAutospacing="1"/>
              <w:rPr>
                <w:sz w:val="22"/>
                <w:szCs w:val="22"/>
                <w:lang w:val="en-GB"/>
              </w:rPr>
            </w:pPr>
            <w:r w:rsidRPr="002502D5">
              <w:rPr>
                <w:rFonts w:cstheme="minorHAnsi"/>
                <w:sz w:val="22"/>
                <w:szCs w:val="22"/>
              </w:rPr>
              <w:t>Financial proposal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2337A" w14:textId="1282D6C1" w:rsidR="00D74310" w:rsidRDefault="00D74310" w:rsidP="00AF427D">
            <w:pPr>
              <w:pBdr>
                <w:top w:val="nil"/>
                <w:left w:val="nil"/>
                <w:bottom w:val="nil"/>
                <w:right w:val="nil"/>
                <w:between w:val="nil"/>
                <w:bar w:val="nil"/>
              </w:pBdr>
              <w:spacing w:before="100" w:beforeAutospacing="1" w:after="100" w:afterAutospacing="1"/>
              <w:rPr>
                <w:rFonts w:cstheme="minorHAnsi"/>
                <w:sz w:val="22"/>
                <w:szCs w:val="22"/>
              </w:rPr>
            </w:pPr>
            <w:r>
              <w:rPr>
                <w:rFonts w:cstheme="minorHAnsi"/>
                <w:sz w:val="22"/>
                <w:szCs w:val="22"/>
              </w:rPr>
              <w:t>30%</w:t>
            </w:r>
          </w:p>
        </w:tc>
      </w:tr>
    </w:tbl>
    <w:p w14:paraId="760B6617" w14:textId="44F80C88" w:rsidR="00D74310" w:rsidRDefault="00D74310" w:rsidP="00801880">
      <w:pPr>
        <w:jc w:val="both"/>
        <w:rPr>
          <w:b/>
          <w:bCs/>
          <w:sz w:val="22"/>
          <w:szCs w:val="22"/>
          <w:lang w:val="en-GB"/>
        </w:rPr>
      </w:pPr>
    </w:p>
    <w:p w14:paraId="10FA23B2" w14:textId="325FA3BC" w:rsidR="00801880" w:rsidRPr="002502D5" w:rsidRDefault="00801880" w:rsidP="00801880">
      <w:pPr>
        <w:jc w:val="both"/>
        <w:rPr>
          <w:sz w:val="22"/>
          <w:szCs w:val="22"/>
          <w:u w:val="single"/>
          <w:lang w:val="en-GB"/>
        </w:rPr>
      </w:pPr>
      <w:r w:rsidRPr="002502D5">
        <w:rPr>
          <w:sz w:val="22"/>
          <w:szCs w:val="22"/>
          <w:u w:val="single"/>
          <w:lang w:val="en-GB"/>
        </w:rPr>
        <w:t>Award</w:t>
      </w:r>
    </w:p>
    <w:p w14:paraId="67382AD8" w14:textId="2CEFF5B2" w:rsidR="00801880" w:rsidRPr="002502D5" w:rsidRDefault="00801880" w:rsidP="00801880">
      <w:pPr>
        <w:jc w:val="both"/>
        <w:rPr>
          <w:sz w:val="22"/>
          <w:szCs w:val="22"/>
          <w:lang w:val="en-US"/>
        </w:rPr>
      </w:pPr>
      <w:r w:rsidRPr="41C8B85D">
        <w:rPr>
          <w:sz w:val="22"/>
          <w:szCs w:val="22"/>
          <w:lang w:val="en-US"/>
        </w:rPr>
        <w:t xml:space="preserve">Once IDH has decided to which Service provider it intends to award the assignment, a written notification thereof is sent to all Service providers participating in the tender procedure. The Service provider is contracted via a letter of assignment, following IDH’s template (Annex </w:t>
      </w:r>
      <w:r w:rsidR="6C2BA417" w:rsidRPr="41C8B85D">
        <w:rPr>
          <w:sz w:val="22"/>
          <w:szCs w:val="22"/>
          <w:lang w:val="en-US"/>
        </w:rPr>
        <w:t>4</w:t>
      </w:r>
      <w:r w:rsidRPr="41C8B85D">
        <w:rPr>
          <w:sz w:val="22"/>
          <w:szCs w:val="22"/>
          <w:lang w:val="en-US"/>
        </w:rPr>
        <w:t>).</w:t>
      </w:r>
    </w:p>
    <w:p w14:paraId="04BBE319" w14:textId="77777777" w:rsidR="00BB2517" w:rsidRPr="002502D5" w:rsidRDefault="00BB2517" w:rsidP="00BB2517">
      <w:pPr>
        <w:jc w:val="both"/>
        <w:rPr>
          <w:sz w:val="22"/>
          <w:szCs w:val="22"/>
          <w:lang w:val="en-US"/>
        </w:rPr>
      </w:pPr>
    </w:p>
    <w:p w14:paraId="3703EEA7" w14:textId="77777777" w:rsidR="00BB2517" w:rsidRPr="002502D5" w:rsidRDefault="00BB2517" w:rsidP="00FC0A82">
      <w:pPr>
        <w:pStyle w:val="Headingnew"/>
      </w:pPr>
      <w:r w:rsidRPr="75780697">
        <w:t>Communication and Confidentiality</w:t>
      </w:r>
    </w:p>
    <w:p w14:paraId="42BAA1B7" w14:textId="65A6E46C" w:rsidR="00BB2517" w:rsidRPr="002502D5" w:rsidRDefault="00BB2517" w:rsidP="00BB2517">
      <w:pPr>
        <w:jc w:val="both"/>
        <w:rPr>
          <w:sz w:val="22"/>
          <w:szCs w:val="22"/>
          <w:lang w:val="en-US"/>
        </w:rPr>
      </w:pPr>
      <w:r w:rsidRPr="29938569">
        <w:rPr>
          <w:sz w:val="22"/>
          <w:szCs w:val="22"/>
          <w:lang w:val="en-US"/>
        </w:rPr>
        <w:t xml:space="preserve">The Service provider will ensure that all its contacts with IDH, with regards to the tender, during the </w:t>
      </w:r>
      <w:r w:rsidRPr="00EF4CD0">
        <w:rPr>
          <w:sz w:val="22"/>
          <w:szCs w:val="22"/>
          <w:lang w:val="en-US"/>
        </w:rPr>
        <w:t xml:space="preserve">tender procedure take place exclusively in writing by e-mail to </w:t>
      </w:r>
      <w:r w:rsidR="38C29A4F" w:rsidRPr="00EF4CD0">
        <w:rPr>
          <w:sz w:val="22"/>
          <w:szCs w:val="22"/>
          <w:lang w:val="en-US"/>
        </w:rPr>
        <w:t>Ari Nova Firnanda</w:t>
      </w:r>
      <w:r w:rsidRPr="00EF4CD0">
        <w:rPr>
          <w:sz w:val="22"/>
          <w:szCs w:val="22"/>
          <w:lang w:val="en-US"/>
        </w:rPr>
        <w:t xml:space="preserve"> via </w:t>
      </w:r>
      <w:hyperlink r:id="rId15" w:history="1">
        <w:r w:rsidR="00EF4CD0" w:rsidRPr="00295927">
          <w:rPr>
            <w:rStyle w:val="Hyperlink"/>
            <w:sz w:val="22"/>
            <w:szCs w:val="22"/>
            <w:lang w:val="en-US"/>
          </w:rPr>
          <w:t>firnanda@idhtrade.org</w:t>
        </w:r>
      </w:hyperlink>
      <w:r w:rsidRPr="00EF4CD0">
        <w:rPr>
          <w:sz w:val="22"/>
          <w:szCs w:val="22"/>
          <w:lang w:val="en-US"/>
        </w:rPr>
        <w:t>. The Service provider is thus explicitly prohibited, to prevent discrimination of the other Service providers and to ensure the diligence of the procedure, to have any contact whatsoever regarding the tender with any other persons</w:t>
      </w:r>
      <w:r w:rsidRPr="29938569">
        <w:rPr>
          <w:sz w:val="22"/>
          <w:szCs w:val="22"/>
          <w:lang w:val="en-US"/>
        </w:rPr>
        <w:t xml:space="preserve"> of IDH than the person stated in the first sentence of this paragraph.</w:t>
      </w:r>
    </w:p>
    <w:p w14:paraId="4197BA89" w14:textId="1E5A9199" w:rsidR="00BB2517" w:rsidRPr="002502D5" w:rsidRDefault="00BB2517" w:rsidP="00BB2517">
      <w:pPr>
        <w:jc w:val="both"/>
        <w:rPr>
          <w:sz w:val="22"/>
          <w:szCs w:val="22"/>
          <w:lang w:val="en-US"/>
        </w:rPr>
      </w:pPr>
      <w:r w:rsidRPr="002502D5">
        <w:rPr>
          <w:sz w:val="22"/>
          <w:szCs w:val="22"/>
          <w:lang w:val="en-US"/>
        </w:rPr>
        <w:t xml:space="preserve">The documents provided by or on behalf of IDH will be </w:t>
      </w:r>
      <w:r w:rsidR="00B75DD3" w:rsidRPr="002502D5">
        <w:rPr>
          <w:sz w:val="22"/>
          <w:szCs w:val="22"/>
          <w:lang w:val="en-US"/>
        </w:rPr>
        <w:t>handled with</w:t>
      </w:r>
      <w:r w:rsidRPr="002502D5">
        <w:rPr>
          <w:sz w:val="22"/>
          <w:szCs w:val="22"/>
          <w:lang w:val="en-US"/>
        </w:rPr>
        <w:t xml:space="preserve"> confidentiality. The Service provider will also impose a duty of confidentiality on any parties that it engages. Any breach of the duty of confidentiality by the Service provider or its engaged third parties will give IDH grounds for exclusion of the Service provider, without requiring any prior written or verbal warning. </w:t>
      </w:r>
    </w:p>
    <w:p w14:paraId="74DBF807" w14:textId="77777777" w:rsidR="00BB2517" w:rsidRDefault="00BB2517" w:rsidP="00BB2517">
      <w:pPr>
        <w:jc w:val="both"/>
        <w:rPr>
          <w:sz w:val="22"/>
          <w:szCs w:val="22"/>
          <w:lang w:val="en-US"/>
        </w:rPr>
      </w:pPr>
      <w:r w:rsidRPr="002502D5">
        <w:rPr>
          <w:sz w:val="22"/>
          <w:szCs w:val="22"/>
          <w:lang w:val="en-US"/>
        </w:rPr>
        <w:t>All information, documents and other requested or provided data submitted by the Service providers will be handled with due care and confidentiality by IDH. The provided information will after evaluation by IDH be filed as confidential. The provided information will not be returned to the Service provider.</w:t>
      </w:r>
    </w:p>
    <w:p w14:paraId="200D5620" w14:textId="77777777" w:rsidR="00EF4CD0" w:rsidRDefault="00EF4CD0" w:rsidP="00BB2517">
      <w:pPr>
        <w:jc w:val="both"/>
        <w:rPr>
          <w:sz w:val="22"/>
          <w:szCs w:val="22"/>
          <w:lang w:val="en-US"/>
        </w:rPr>
      </w:pPr>
    </w:p>
    <w:p w14:paraId="36421FDC" w14:textId="77777777" w:rsidR="00EF4CD0" w:rsidRPr="002502D5" w:rsidRDefault="00EF4CD0" w:rsidP="00BB2517">
      <w:pPr>
        <w:jc w:val="both"/>
        <w:rPr>
          <w:sz w:val="22"/>
          <w:szCs w:val="22"/>
          <w:lang w:val="en-US"/>
        </w:rPr>
      </w:pPr>
    </w:p>
    <w:p w14:paraId="30FF65FC" w14:textId="77777777" w:rsidR="00BB2517" w:rsidRPr="002502D5" w:rsidRDefault="00BB2517" w:rsidP="00FC0A82">
      <w:pPr>
        <w:pStyle w:val="Headingnew"/>
      </w:pPr>
      <w:r w:rsidRPr="75780697">
        <w:lastRenderedPageBreak/>
        <w:t>Disclaimer</w:t>
      </w:r>
    </w:p>
    <w:p w14:paraId="50F8397B" w14:textId="77777777" w:rsidR="00BB2517" w:rsidRPr="002502D5" w:rsidRDefault="00BB2517" w:rsidP="00BB2517">
      <w:pPr>
        <w:jc w:val="both"/>
        <w:rPr>
          <w:sz w:val="22"/>
          <w:szCs w:val="22"/>
          <w:lang w:val="en-US"/>
        </w:rPr>
      </w:pPr>
      <w:r w:rsidRPr="002502D5">
        <w:rPr>
          <w:sz w:val="22"/>
          <w:szCs w:val="22"/>
          <w:lang w:val="en-US"/>
        </w:rPr>
        <w:t xml:space="preserve">IDH reserves the right to update, change, extend, postpone, withdraw, or suspend the ToR, this tender procedure, or any decision regarding the selection or contract award. IDH is not obliged in this tender procedure to make a contract award decision or to conclude a contract with a participant. </w:t>
      </w:r>
    </w:p>
    <w:p w14:paraId="5DC201B8" w14:textId="77777777" w:rsidR="00BB2517" w:rsidRPr="002502D5" w:rsidRDefault="00BB2517" w:rsidP="00BB2517">
      <w:pPr>
        <w:jc w:val="both"/>
        <w:rPr>
          <w:sz w:val="22"/>
          <w:szCs w:val="22"/>
          <w:lang w:val="en-US"/>
        </w:rPr>
      </w:pPr>
      <w:r w:rsidRPr="002502D5">
        <w:rPr>
          <w:sz w:val="22"/>
          <w:szCs w:val="22"/>
          <w:lang w:val="en-US"/>
        </w:rPr>
        <w:t>Participants in the tender procedure cannot claim compensation from IDH, any affiliated persons or entities, in any way, in case any of the afore-mentioned situations occur.</w:t>
      </w:r>
    </w:p>
    <w:p w14:paraId="76C8C81B" w14:textId="77777777" w:rsidR="00BB2517" w:rsidRPr="002502D5" w:rsidRDefault="00BB2517" w:rsidP="00BB2517">
      <w:pPr>
        <w:jc w:val="both"/>
        <w:rPr>
          <w:sz w:val="22"/>
          <w:szCs w:val="22"/>
          <w:lang w:val="en-US"/>
        </w:rPr>
      </w:pPr>
      <w:r w:rsidRPr="002502D5">
        <w:rPr>
          <w:sz w:val="22"/>
          <w:szCs w:val="22"/>
          <w:lang w:val="en-US"/>
        </w:rPr>
        <w:t>By handing in a proposal, participants accept all terms and reservations made in this ToR, and subsequent information and documentation in this tender procedure.</w:t>
      </w:r>
    </w:p>
    <w:p w14:paraId="0FB1B2F7" w14:textId="77777777" w:rsidR="00BB2517" w:rsidRPr="002502D5" w:rsidRDefault="00BB2517" w:rsidP="00BB2517">
      <w:pPr>
        <w:jc w:val="both"/>
        <w:rPr>
          <w:sz w:val="22"/>
          <w:szCs w:val="22"/>
          <w:lang w:val="en-US"/>
        </w:rPr>
      </w:pPr>
    </w:p>
    <w:p w14:paraId="2F2B6AA6" w14:textId="77777777" w:rsidR="00BB2517" w:rsidRPr="002502D5" w:rsidRDefault="00BB2517" w:rsidP="00FC0A82">
      <w:pPr>
        <w:pStyle w:val="Headingnew"/>
      </w:pPr>
      <w:r w:rsidRPr="75780697">
        <w:t>Annexes</w:t>
      </w:r>
    </w:p>
    <w:p w14:paraId="2FA72FA2" w14:textId="796F7F10" w:rsidR="00BB2517" w:rsidRPr="005F7333" w:rsidRDefault="00BB2517" w:rsidP="00BB2517">
      <w:pPr>
        <w:jc w:val="both"/>
        <w:rPr>
          <w:sz w:val="22"/>
          <w:szCs w:val="22"/>
          <w:lang w:val="en-GB"/>
        </w:rPr>
      </w:pPr>
      <w:r w:rsidRPr="005F7333">
        <w:rPr>
          <w:sz w:val="22"/>
          <w:szCs w:val="22"/>
          <w:lang w:val="en-GB"/>
        </w:rPr>
        <w:t xml:space="preserve">Annex </w:t>
      </w:r>
      <w:r w:rsidR="00C91191" w:rsidRPr="005F7333">
        <w:rPr>
          <w:sz w:val="22"/>
          <w:szCs w:val="22"/>
          <w:lang w:val="en-GB"/>
        </w:rPr>
        <w:t>1</w:t>
      </w:r>
      <w:r w:rsidRPr="005F7333">
        <w:rPr>
          <w:sz w:val="22"/>
          <w:szCs w:val="22"/>
          <w:lang w:val="en-GB"/>
        </w:rPr>
        <w:t xml:space="preserve">: </w:t>
      </w:r>
      <w:r w:rsidR="007667B5" w:rsidRPr="005F7333">
        <w:rPr>
          <w:sz w:val="22"/>
          <w:szCs w:val="22"/>
          <w:lang w:val="en-GB"/>
        </w:rPr>
        <w:t xml:space="preserve"> </w:t>
      </w:r>
      <w:r w:rsidR="00C91191" w:rsidRPr="005F7333">
        <w:rPr>
          <w:sz w:val="22"/>
          <w:szCs w:val="22"/>
          <w:lang w:val="en-GB"/>
        </w:rPr>
        <w:t>Concept note Gender</w:t>
      </w:r>
    </w:p>
    <w:p w14:paraId="6036032F" w14:textId="587D4215" w:rsidR="00BB2517" w:rsidRPr="005F7333" w:rsidRDefault="00BB2517" w:rsidP="00BB2517">
      <w:pPr>
        <w:jc w:val="both"/>
        <w:rPr>
          <w:sz w:val="22"/>
          <w:szCs w:val="22"/>
          <w:lang w:val="en-GB"/>
        </w:rPr>
      </w:pPr>
      <w:r w:rsidRPr="005F7333">
        <w:rPr>
          <w:sz w:val="22"/>
          <w:szCs w:val="22"/>
          <w:lang w:val="en-GB"/>
        </w:rPr>
        <w:t xml:space="preserve">Annex </w:t>
      </w:r>
      <w:r w:rsidR="00375D17" w:rsidRPr="005F7333">
        <w:rPr>
          <w:sz w:val="22"/>
          <w:szCs w:val="22"/>
          <w:lang w:val="en-GB"/>
        </w:rPr>
        <w:t>2</w:t>
      </w:r>
      <w:r w:rsidRPr="005F7333">
        <w:rPr>
          <w:sz w:val="22"/>
          <w:szCs w:val="22"/>
          <w:lang w:val="en-GB"/>
        </w:rPr>
        <w:t>: Detail request form</w:t>
      </w:r>
    </w:p>
    <w:p w14:paraId="1324FE77" w14:textId="032E7302" w:rsidR="00BB2517" w:rsidRPr="005F7333" w:rsidRDefault="00BB2517" w:rsidP="00BB2517">
      <w:pPr>
        <w:jc w:val="both"/>
        <w:rPr>
          <w:sz w:val="22"/>
          <w:szCs w:val="22"/>
          <w:lang w:val="en-GB"/>
        </w:rPr>
      </w:pPr>
      <w:r w:rsidRPr="005F7333">
        <w:rPr>
          <w:sz w:val="22"/>
          <w:szCs w:val="22"/>
          <w:lang w:val="en-GB"/>
        </w:rPr>
        <w:t xml:space="preserve">Annex </w:t>
      </w:r>
      <w:r w:rsidR="00375D17" w:rsidRPr="005F7333">
        <w:rPr>
          <w:sz w:val="22"/>
          <w:szCs w:val="22"/>
          <w:lang w:val="en-GB"/>
        </w:rPr>
        <w:t>3</w:t>
      </w:r>
      <w:r w:rsidRPr="005F7333">
        <w:rPr>
          <w:sz w:val="22"/>
          <w:szCs w:val="22"/>
          <w:lang w:val="en-GB"/>
        </w:rPr>
        <w:t>: Letter of Assignment</w:t>
      </w:r>
      <w:r w:rsidR="00F77E77" w:rsidRPr="005F7333">
        <w:rPr>
          <w:sz w:val="22"/>
          <w:szCs w:val="22"/>
          <w:lang w:val="en-GB"/>
        </w:rPr>
        <w:t xml:space="preserve"> contract template</w:t>
      </w:r>
    </w:p>
    <w:p w14:paraId="0D42CD49" w14:textId="75F8D2DF" w:rsidR="00BB2517" w:rsidRPr="005F7333" w:rsidRDefault="00BB2517" w:rsidP="00BB2517">
      <w:pPr>
        <w:jc w:val="both"/>
        <w:rPr>
          <w:sz w:val="22"/>
          <w:szCs w:val="22"/>
          <w:lang w:val="en-GB"/>
        </w:rPr>
      </w:pPr>
      <w:r w:rsidRPr="005F7333">
        <w:rPr>
          <w:sz w:val="22"/>
          <w:szCs w:val="22"/>
          <w:lang w:val="en-GB"/>
        </w:rPr>
        <w:t xml:space="preserve">Annex </w:t>
      </w:r>
      <w:r w:rsidR="00375D17" w:rsidRPr="005F7333">
        <w:rPr>
          <w:sz w:val="22"/>
          <w:szCs w:val="22"/>
          <w:lang w:val="en-GB"/>
        </w:rPr>
        <w:t>4</w:t>
      </w:r>
      <w:r w:rsidRPr="005F7333">
        <w:rPr>
          <w:sz w:val="22"/>
          <w:szCs w:val="22"/>
          <w:lang w:val="en-GB"/>
        </w:rPr>
        <w:t>: IDH General Terms and Conditions for Services</w:t>
      </w:r>
    </w:p>
    <w:p w14:paraId="56CA29E2" w14:textId="5CC8585B" w:rsidR="00BB2517" w:rsidRPr="005F7333" w:rsidRDefault="00BB2517" w:rsidP="00BB2517">
      <w:pPr>
        <w:jc w:val="both"/>
        <w:rPr>
          <w:sz w:val="22"/>
          <w:szCs w:val="22"/>
          <w:lang w:val="en-GB"/>
        </w:rPr>
      </w:pPr>
      <w:r w:rsidRPr="005F7333">
        <w:rPr>
          <w:sz w:val="22"/>
          <w:szCs w:val="22"/>
          <w:lang w:val="en-GB"/>
        </w:rPr>
        <w:t xml:space="preserve">Annex </w:t>
      </w:r>
      <w:r w:rsidR="00375D17" w:rsidRPr="005F7333">
        <w:rPr>
          <w:sz w:val="22"/>
          <w:szCs w:val="22"/>
          <w:lang w:val="en-GB"/>
        </w:rPr>
        <w:t>5</w:t>
      </w:r>
      <w:r w:rsidRPr="005F7333">
        <w:rPr>
          <w:sz w:val="22"/>
          <w:szCs w:val="22"/>
          <w:lang w:val="en-GB"/>
        </w:rPr>
        <w:t>: Statement of acceptance draft contract</w:t>
      </w:r>
    </w:p>
    <w:p w14:paraId="0FEB6769" w14:textId="4C4A8F6D" w:rsidR="4886C46E" w:rsidRPr="005F7333" w:rsidRDefault="4886C46E" w:rsidP="3D9CF05A">
      <w:pPr>
        <w:jc w:val="both"/>
        <w:rPr>
          <w:sz w:val="22"/>
          <w:szCs w:val="22"/>
          <w:lang w:val="en-GB"/>
        </w:rPr>
      </w:pPr>
      <w:r w:rsidRPr="005F7333">
        <w:rPr>
          <w:sz w:val="22"/>
          <w:szCs w:val="22"/>
          <w:lang w:val="en-GB"/>
        </w:rPr>
        <w:t xml:space="preserve">Annex </w:t>
      </w:r>
      <w:r w:rsidR="00375D17" w:rsidRPr="005F7333">
        <w:rPr>
          <w:sz w:val="22"/>
          <w:szCs w:val="22"/>
          <w:lang w:val="en-GB"/>
        </w:rPr>
        <w:t>6</w:t>
      </w:r>
      <w:r w:rsidRPr="005F7333">
        <w:rPr>
          <w:sz w:val="22"/>
          <w:szCs w:val="22"/>
          <w:lang w:val="en-GB"/>
        </w:rPr>
        <w:t>: Statement of integrity</w:t>
      </w:r>
    </w:p>
    <w:p w14:paraId="70F2D55A" w14:textId="77777777" w:rsidR="00413D59" w:rsidRPr="005F7333" w:rsidRDefault="00413D59" w:rsidP="005077FD">
      <w:pPr>
        <w:rPr>
          <w:sz w:val="22"/>
          <w:szCs w:val="22"/>
        </w:rPr>
      </w:pPr>
    </w:p>
    <w:sectPr w:rsidR="00413D59" w:rsidRPr="005F7333" w:rsidSect="00BB2517">
      <w:headerReference w:type="default" r:id="rId16"/>
      <w:footerReference w:type="even" r:id="rId17"/>
      <w:footerReference w:type="default" r:id="rId18"/>
      <w:headerReference w:type="first" r:id="rId19"/>
      <w:footerReference w:type="first" r:id="rId20"/>
      <w:pgSz w:w="11906" w:h="16838"/>
      <w:pgMar w:top="2574" w:right="1440" w:bottom="1440" w:left="1440" w:header="1644" w:footer="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8B0AB" w14:textId="77777777" w:rsidR="003A5D2A" w:rsidRDefault="003A5D2A" w:rsidP="008B2CDA">
      <w:r>
        <w:separator/>
      </w:r>
    </w:p>
  </w:endnote>
  <w:endnote w:type="continuationSeparator" w:id="0">
    <w:p w14:paraId="63C08231" w14:textId="77777777" w:rsidR="003A5D2A" w:rsidRDefault="003A5D2A" w:rsidP="008B2CDA">
      <w:r>
        <w:continuationSeparator/>
      </w:r>
    </w:p>
  </w:endnote>
  <w:endnote w:type="continuationNotice" w:id="1">
    <w:p w14:paraId="61D2B963" w14:textId="77777777" w:rsidR="003A5D2A" w:rsidRDefault="003A5D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blet Gothic">
    <w:altName w:val="Calibri"/>
    <w:panose1 w:val="02000503000000020004"/>
    <w:charset w:val="00"/>
    <w:family w:val="modern"/>
    <w:notTrueType/>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 Grotesk">
    <w:panose1 w:val="00000500000000000000"/>
    <w:charset w:val="4D"/>
    <w:family w:val="auto"/>
    <w:notTrueType/>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7D8A" w14:textId="77777777" w:rsidR="00713B45" w:rsidRDefault="00713B45" w:rsidP="008B2CDA">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2903BE2C" w14:textId="77777777" w:rsidR="00713B45" w:rsidRDefault="00713B45" w:rsidP="008B2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8046139"/>
      <w:docPartObj>
        <w:docPartGallery w:val="Page Numbers (Bottom of Page)"/>
        <w:docPartUnique/>
      </w:docPartObj>
    </w:sdtPr>
    <w:sdtContent>
      <w:p w14:paraId="0B1F2383" w14:textId="77777777" w:rsidR="00713B45" w:rsidRDefault="00713B45" w:rsidP="008B2CDA">
        <w:pPr>
          <w:pStyle w:val="Footer"/>
          <w:rPr>
            <w:rStyle w:val="PageNumber"/>
          </w:rPr>
        </w:pPr>
        <w:r w:rsidRPr="005B1DDA">
          <w:rPr>
            <w:rStyle w:val="PageNumber"/>
            <w:sz w:val="16"/>
            <w:szCs w:val="16"/>
          </w:rPr>
          <w:fldChar w:fldCharType="begin"/>
        </w:r>
        <w:r w:rsidRPr="005B1DDA">
          <w:rPr>
            <w:rStyle w:val="PageNumber"/>
            <w:sz w:val="16"/>
            <w:szCs w:val="16"/>
          </w:rPr>
          <w:instrText xml:space="preserve"> PAGE </w:instrText>
        </w:r>
        <w:r w:rsidRPr="005B1DDA">
          <w:rPr>
            <w:rStyle w:val="PageNumber"/>
            <w:sz w:val="16"/>
            <w:szCs w:val="16"/>
          </w:rPr>
          <w:fldChar w:fldCharType="separate"/>
        </w:r>
        <w:r w:rsidRPr="005B1DDA">
          <w:rPr>
            <w:rStyle w:val="PageNumber"/>
            <w:noProof/>
            <w:sz w:val="16"/>
            <w:szCs w:val="16"/>
          </w:rPr>
          <w:t>2</w:t>
        </w:r>
        <w:r w:rsidRPr="005B1DDA">
          <w:rPr>
            <w:rStyle w:val="PageNumber"/>
            <w:sz w:val="16"/>
            <w:szCs w:val="16"/>
          </w:rPr>
          <w:fldChar w:fldCharType="end"/>
        </w:r>
      </w:p>
    </w:sdtContent>
  </w:sdt>
  <w:p w14:paraId="44A20EFD" w14:textId="77777777" w:rsidR="00DF53B7" w:rsidRPr="00DF53B7" w:rsidRDefault="00DF53B7" w:rsidP="008B2CDA">
    <w:pPr>
      <w:pStyle w:val="Footer"/>
    </w:pPr>
  </w:p>
  <w:p w14:paraId="1825D4CF" w14:textId="77777777" w:rsidR="00B542D5" w:rsidRPr="00DF53B7" w:rsidRDefault="00B542D5" w:rsidP="008B2C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142" w:type="dxa"/>
        <w:left w:w="0" w:type="dxa"/>
      </w:tblCellMar>
      <w:tblLook w:val="04A0" w:firstRow="1" w:lastRow="0" w:firstColumn="1" w:lastColumn="0" w:noHBand="0" w:noVBand="1"/>
    </w:tblPr>
    <w:tblGrid>
      <w:gridCol w:w="3544"/>
      <w:gridCol w:w="3686"/>
      <w:gridCol w:w="1786"/>
    </w:tblGrid>
    <w:tr w:rsidR="00226366" w:rsidRPr="008B2CDA" w14:paraId="5191188E" w14:textId="77777777" w:rsidTr="00AC2524">
      <w:tc>
        <w:tcPr>
          <w:tcW w:w="3544" w:type="dxa"/>
          <w:tcBorders>
            <w:top w:val="single" w:sz="4" w:space="0" w:color="47D985" w:themeColor="accent2"/>
          </w:tcBorders>
        </w:tcPr>
        <w:p w14:paraId="7462ADF6" w14:textId="77777777" w:rsidR="00226366" w:rsidRPr="00BB2517" w:rsidRDefault="00226366" w:rsidP="008B2CDA">
          <w:pPr>
            <w:pStyle w:val="Header"/>
            <w:rPr>
              <w:lang w:val="nl-NL"/>
            </w:rPr>
          </w:pPr>
        </w:p>
      </w:tc>
      <w:tc>
        <w:tcPr>
          <w:tcW w:w="3686" w:type="dxa"/>
          <w:tcBorders>
            <w:top w:val="single" w:sz="4" w:space="0" w:color="47D985" w:themeColor="accent2"/>
          </w:tcBorders>
        </w:tcPr>
        <w:p w14:paraId="08B8B5D3" w14:textId="77777777" w:rsidR="00226366" w:rsidRPr="003A22AF" w:rsidRDefault="00226366" w:rsidP="00BB2517">
          <w:pPr>
            <w:pStyle w:val="Header"/>
            <w:rPr>
              <w:lang w:val="nl-NL"/>
            </w:rPr>
          </w:pPr>
        </w:p>
      </w:tc>
      <w:tc>
        <w:tcPr>
          <w:tcW w:w="1786" w:type="dxa"/>
          <w:tcBorders>
            <w:top w:val="single" w:sz="4" w:space="0" w:color="47D985" w:themeColor="accent2"/>
          </w:tcBorders>
        </w:tcPr>
        <w:p w14:paraId="31241D9F" w14:textId="77777777" w:rsidR="00226366" w:rsidRPr="008B2CDA" w:rsidRDefault="00226366" w:rsidP="008B2CDA">
          <w:pPr>
            <w:pStyle w:val="Header"/>
          </w:pPr>
        </w:p>
      </w:tc>
    </w:tr>
  </w:tbl>
  <w:p w14:paraId="4667D77A" w14:textId="77777777" w:rsidR="00226366" w:rsidRPr="008B2CDA" w:rsidRDefault="00226366" w:rsidP="008B2CDA">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3E23C" w14:textId="77777777" w:rsidR="003A5D2A" w:rsidRDefault="003A5D2A" w:rsidP="008B2CDA">
      <w:r>
        <w:separator/>
      </w:r>
    </w:p>
  </w:footnote>
  <w:footnote w:type="continuationSeparator" w:id="0">
    <w:p w14:paraId="33E14E88" w14:textId="77777777" w:rsidR="003A5D2A" w:rsidRDefault="003A5D2A" w:rsidP="008B2CDA">
      <w:r>
        <w:continuationSeparator/>
      </w:r>
    </w:p>
  </w:footnote>
  <w:footnote w:type="continuationNotice" w:id="1">
    <w:p w14:paraId="271F69D0" w14:textId="77777777" w:rsidR="003A5D2A" w:rsidRDefault="003A5D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77CD" w14:textId="77777777" w:rsidR="00CF6717" w:rsidRPr="00E92D5C" w:rsidRDefault="00CF6717" w:rsidP="008B2CDA">
    <w:pPr>
      <w:pStyle w:val="Header"/>
    </w:pPr>
    <w:r w:rsidRPr="00E92D5C">
      <w:ptab w:relativeTo="margin" w:alignment="center" w:leader="none"/>
    </w:r>
    <w:r w:rsidRPr="003125B2">
      <w:rPr>
        <w:rFonts w:ascii="Arial" w:hAnsi="Arial"/>
      </w:rPr>
      <w:ptab w:relativeTo="margin" w:alignment="right" w:leader="none"/>
    </w:r>
    <w:r w:rsidR="008F10BF" w:rsidRPr="00E92D5C">
      <w:rPr>
        <w:noProof/>
      </w:rPr>
      <w:drawing>
        <wp:inline distT="0" distB="0" distL="0" distR="0" wp14:anchorId="53287D75" wp14:editId="5361CC3E">
          <wp:extent cx="355772" cy="352697"/>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76462" cy="37320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7F7D8" w14:textId="0039DE53" w:rsidR="00226366" w:rsidRPr="000A4A75" w:rsidRDefault="000D5B43" w:rsidP="008B2CDA">
    <w:pPr>
      <w:pStyle w:val="Header"/>
    </w:pPr>
    <w:r>
      <w:rPr>
        <w:noProof/>
      </w:rPr>
      <w:drawing>
        <wp:anchor distT="0" distB="0" distL="114300" distR="114300" simplePos="0" relativeHeight="251658240" behindDoc="1" locked="1" layoutInCell="1" allowOverlap="1" wp14:anchorId="69E53F16" wp14:editId="1AB223A8">
          <wp:simplePos x="0" y="0"/>
          <wp:positionH relativeFrom="page">
            <wp:posOffset>0</wp:posOffset>
          </wp:positionH>
          <wp:positionV relativeFrom="page">
            <wp:posOffset>10391</wp:posOffset>
          </wp:positionV>
          <wp:extent cx="7560000" cy="106848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r w:rsidR="00705E28" w:rsidRPr="005B1DDA">
      <w:fldChar w:fldCharType="begin"/>
    </w:r>
    <w:r w:rsidR="00705E28" w:rsidRPr="005B1DDA">
      <w:instrText xml:space="preserve"> DATE \@ "d MMMM yyyy" </w:instrText>
    </w:r>
    <w:r w:rsidR="00705E28" w:rsidRPr="005B1DDA">
      <w:fldChar w:fldCharType="separate"/>
    </w:r>
    <w:r w:rsidR="00D10DAA">
      <w:rPr>
        <w:noProof/>
      </w:rPr>
      <w:t>22 November 2023</w:t>
    </w:r>
    <w:r w:rsidR="00705E28" w:rsidRPr="005B1DDA">
      <w:fldChar w:fldCharType="end"/>
    </w:r>
    <w:r w:rsidR="00226366" w:rsidRPr="005B1DDA">
      <w:ptab w:relativeTo="margin" w:alignment="center" w:leader="none"/>
    </w:r>
    <w:r w:rsidR="00226366" w:rsidRPr="005B1DDA">
      <w:ptab w:relativeTo="margin" w:alignment="right" w:leader="none"/>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4199"/>
    <w:multiLevelType w:val="hybridMultilevel"/>
    <w:tmpl w:val="C624F6B0"/>
    <w:lvl w:ilvl="0" w:tplc="BC349D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904741"/>
    <w:multiLevelType w:val="hybridMultilevel"/>
    <w:tmpl w:val="7E669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21CE2"/>
    <w:multiLevelType w:val="hybridMultilevel"/>
    <w:tmpl w:val="7CD2F0CA"/>
    <w:lvl w:ilvl="0" w:tplc="FFFFFFFF">
      <w:start w:val="1"/>
      <w:numFmt w:val="bullet"/>
      <w:lvlText w:val=""/>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DA1E53"/>
    <w:multiLevelType w:val="hybridMultilevel"/>
    <w:tmpl w:val="8E3ADAD8"/>
    <w:lvl w:ilvl="0" w:tplc="377E30B2">
      <w:start w:val="1"/>
      <w:numFmt w:val="decimal"/>
      <w:lvlText w:val="%1."/>
      <w:lvlJc w:val="left"/>
      <w:pPr>
        <w:ind w:left="720" w:hanging="360"/>
      </w:pPr>
      <w:rPr>
        <w:rFonts w:ascii="Tablet Gothic" w:hAnsi="Tablet Gothic" w:hint="default"/>
        <w:color w:val="00615F" w:themeColor="text1"/>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2273D36"/>
    <w:multiLevelType w:val="hybridMultilevel"/>
    <w:tmpl w:val="7C10DC04"/>
    <w:lvl w:ilvl="0" w:tplc="08090011">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26F1669"/>
    <w:multiLevelType w:val="hybridMultilevel"/>
    <w:tmpl w:val="AFA27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756DC4"/>
    <w:multiLevelType w:val="hybridMultilevel"/>
    <w:tmpl w:val="D212884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D9D5D97"/>
    <w:multiLevelType w:val="hybridMultilevel"/>
    <w:tmpl w:val="ABC08CF6"/>
    <w:lvl w:ilvl="0" w:tplc="08090011">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A976A1"/>
    <w:multiLevelType w:val="hybridMultilevel"/>
    <w:tmpl w:val="45FC41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7801C4"/>
    <w:multiLevelType w:val="hybridMultilevel"/>
    <w:tmpl w:val="F808CD4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28B40AA"/>
    <w:multiLevelType w:val="hybridMultilevel"/>
    <w:tmpl w:val="FA264236"/>
    <w:lvl w:ilvl="0" w:tplc="9DA41EA0">
      <w:start w:val="1"/>
      <w:numFmt w:val="decimal"/>
      <w:pStyle w:val="Headingnew"/>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EF6BC6"/>
    <w:multiLevelType w:val="hybridMultilevel"/>
    <w:tmpl w:val="8CD8A2A8"/>
    <w:lvl w:ilvl="0" w:tplc="A456E1E8">
      <w:start w:val="1"/>
      <w:numFmt w:val="decimal"/>
      <w:lvlText w:val="%1."/>
      <w:lvlJc w:val="left"/>
      <w:pPr>
        <w:tabs>
          <w:tab w:val="num" w:pos="720"/>
        </w:tabs>
        <w:ind w:left="720" w:hanging="360"/>
      </w:pPr>
    </w:lvl>
    <w:lvl w:ilvl="1" w:tplc="23582B78" w:tentative="1">
      <w:start w:val="1"/>
      <w:numFmt w:val="decimal"/>
      <w:lvlText w:val="%2."/>
      <w:lvlJc w:val="left"/>
      <w:pPr>
        <w:tabs>
          <w:tab w:val="num" w:pos="1440"/>
        </w:tabs>
        <w:ind w:left="1440" w:hanging="360"/>
      </w:pPr>
    </w:lvl>
    <w:lvl w:ilvl="2" w:tplc="149AE094" w:tentative="1">
      <w:start w:val="1"/>
      <w:numFmt w:val="decimal"/>
      <w:lvlText w:val="%3."/>
      <w:lvlJc w:val="left"/>
      <w:pPr>
        <w:tabs>
          <w:tab w:val="num" w:pos="2160"/>
        </w:tabs>
        <w:ind w:left="2160" w:hanging="360"/>
      </w:pPr>
    </w:lvl>
    <w:lvl w:ilvl="3" w:tplc="12E2AB4E" w:tentative="1">
      <w:start w:val="1"/>
      <w:numFmt w:val="decimal"/>
      <w:lvlText w:val="%4."/>
      <w:lvlJc w:val="left"/>
      <w:pPr>
        <w:tabs>
          <w:tab w:val="num" w:pos="2880"/>
        </w:tabs>
        <w:ind w:left="2880" w:hanging="360"/>
      </w:pPr>
    </w:lvl>
    <w:lvl w:ilvl="4" w:tplc="5058BDB0" w:tentative="1">
      <w:start w:val="1"/>
      <w:numFmt w:val="decimal"/>
      <w:lvlText w:val="%5."/>
      <w:lvlJc w:val="left"/>
      <w:pPr>
        <w:tabs>
          <w:tab w:val="num" w:pos="3600"/>
        </w:tabs>
        <w:ind w:left="3600" w:hanging="360"/>
      </w:pPr>
    </w:lvl>
    <w:lvl w:ilvl="5" w:tplc="A1829D74" w:tentative="1">
      <w:start w:val="1"/>
      <w:numFmt w:val="decimal"/>
      <w:lvlText w:val="%6."/>
      <w:lvlJc w:val="left"/>
      <w:pPr>
        <w:tabs>
          <w:tab w:val="num" w:pos="4320"/>
        </w:tabs>
        <w:ind w:left="4320" w:hanging="360"/>
      </w:pPr>
    </w:lvl>
    <w:lvl w:ilvl="6" w:tplc="179E5C9C" w:tentative="1">
      <w:start w:val="1"/>
      <w:numFmt w:val="decimal"/>
      <w:lvlText w:val="%7."/>
      <w:lvlJc w:val="left"/>
      <w:pPr>
        <w:tabs>
          <w:tab w:val="num" w:pos="5040"/>
        </w:tabs>
        <w:ind w:left="5040" w:hanging="360"/>
      </w:pPr>
    </w:lvl>
    <w:lvl w:ilvl="7" w:tplc="64EC4184" w:tentative="1">
      <w:start w:val="1"/>
      <w:numFmt w:val="decimal"/>
      <w:lvlText w:val="%8."/>
      <w:lvlJc w:val="left"/>
      <w:pPr>
        <w:tabs>
          <w:tab w:val="num" w:pos="5760"/>
        </w:tabs>
        <w:ind w:left="5760" w:hanging="360"/>
      </w:pPr>
    </w:lvl>
    <w:lvl w:ilvl="8" w:tplc="B16611F6" w:tentative="1">
      <w:start w:val="1"/>
      <w:numFmt w:val="decimal"/>
      <w:lvlText w:val="%9."/>
      <w:lvlJc w:val="left"/>
      <w:pPr>
        <w:tabs>
          <w:tab w:val="num" w:pos="6480"/>
        </w:tabs>
        <w:ind w:left="6480" w:hanging="360"/>
      </w:pPr>
    </w:lvl>
  </w:abstractNum>
  <w:abstractNum w:abstractNumId="12" w15:restartNumberingAfterBreak="0">
    <w:nsid w:val="6DE65230"/>
    <w:multiLevelType w:val="hybridMultilevel"/>
    <w:tmpl w:val="B6B01F02"/>
    <w:lvl w:ilvl="0" w:tplc="04130019">
      <w:start w:val="1"/>
      <w:numFmt w:val="low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6DFF1DA7"/>
    <w:multiLevelType w:val="hybridMultilevel"/>
    <w:tmpl w:val="DDAE0EA4"/>
    <w:lvl w:ilvl="0" w:tplc="B6EE596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7B39C2"/>
    <w:multiLevelType w:val="hybridMultilevel"/>
    <w:tmpl w:val="2D7428BC"/>
    <w:lvl w:ilvl="0" w:tplc="36A4B68A">
      <w:start w:val="1"/>
      <w:numFmt w:val="decimal"/>
      <w:pStyle w:val="Numbered"/>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DEE77CB"/>
    <w:multiLevelType w:val="hybridMultilevel"/>
    <w:tmpl w:val="F78098E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97281918">
    <w:abstractNumId w:val="12"/>
  </w:num>
  <w:num w:numId="2" w16cid:durableId="1136754231">
    <w:abstractNumId w:val="9"/>
  </w:num>
  <w:num w:numId="3" w16cid:durableId="1712609345">
    <w:abstractNumId w:val="6"/>
  </w:num>
  <w:num w:numId="4" w16cid:durableId="1870408658">
    <w:abstractNumId w:val="2"/>
  </w:num>
  <w:num w:numId="5" w16cid:durableId="1200167488">
    <w:abstractNumId w:val="0"/>
  </w:num>
  <w:num w:numId="6" w16cid:durableId="1164586079">
    <w:abstractNumId w:val="1"/>
  </w:num>
  <w:num w:numId="7" w16cid:durableId="64840761">
    <w:abstractNumId w:val="10"/>
  </w:num>
  <w:num w:numId="8" w16cid:durableId="1883325281">
    <w:abstractNumId w:val="13"/>
  </w:num>
  <w:num w:numId="9" w16cid:durableId="817769292">
    <w:abstractNumId w:val="3"/>
  </w:num>
  <w:num w:numId="10" w16cid:durableId="596519902">
    <w:abstractNumId w:val="11"/>
  </w:num>
  <w:num w:numId="11" w16cid:durableId="2075153155">
    <w:abstractNumId w:val="7"/>
  </w:num>
  <w:num w:numId="12" w16cid:durableId="973483037">
    <w:abstractNumId w:val="8"/>
  </w:num>
  <w:num w:numId="13" w16cid:durableId="171451872">
    <w:abstractNumId w:val="4"/>
  </w:num>
  <w:num w:numId="14" w16cid:durableId="1746415435">
    <w:abstractNumId w:val="15"/>
  </w:num>
  <w:num w:numId="15" w16cid:durableId="1959026843">
    <w:abstractNumId w:val="5"/>
  </w:num>
  <w:num w:numId="16" w16cid:durableId="18475977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9CF"/>
    <w:rsid w:val="00001ADA"/>
    <w:rsid w:val="0001037D"/>
    <w:rsid w:val="00027E89"/>
    <w:rsid w:val="0003147F"/>
    <w:rsid w:val="00037372"/>
    <w:rsid w:val="00037C34"/>
    <w:rsid w:val="00066C6C"/>
    <w:rsid w:val="00072F7F"/>
    <w:rsid w:val="0007411D"/>
    <w:rsid w:val="00075FDF"/>
    <w:rsid w:val="000776DA"/>
    <w:rsid w:val="0008186D"/>
    <w:rsid w:val="0008200E"/>
    <w:rsid w:val="000877F2"/>
    <w:rsid w:val="00090C1D"/>
    <w:rsid w:val="00092FFA"/>
    <w:rsid w:val="0009790B"/>
    <w:rsid w:val="000A33FC"/>
    <w:rsid w:val="000A4A75"/>
    <w:rsid w:val="000B719A"/>
    <w:rsid w:val="000C4991"/>
    <w:rsid w:val="000D29BE"/>
    <w:rsid w:val="000D2FA9"/>
    <w:rsid w:val="000D3826"/>
    <w:rsid w:val="000D3DA2"/>
    <w:rsid w:val="000D5B43"/>
    <w:rsid w:val="000F16FA"/>
    <w:rsid w:val="0010589E"/>
    <w:rsid w:val="00122B56"/>
    <w:rsid w:val="00132AA0"/>
    <w:rsid w:val="00162644"/>
    <w:rsid w:val="00164913"/>
    <w:rsid w:val="00172DE4"/>
    <w:rsid w:val="00176B8D"/>
    <w:rsid w:val="00177E29"/>
    <w:rsid w:val="00185BCA"/>
    <w:rsid w:val="00197298"/>
    <w:rsid w:val="001A62EA"/>
    <w:rsid w:val="001D16EA"/>
    <w:rsid w:val="001D7FD0"/>
    <w:rsid w:val="001F1C3C"/>
    <w:rsid w:val="001F4138"/>
    <w:rsid w:val="002019E4"/>
    <w:rsid w:val="002113FB"/>
    <w:rsid w:val="00221A3C"/>
    <w:rsid w:val="00226366"/>
    <w:rsid w:val="00241BBE"/>
    <w:rsid w:val="002502D5"/>
    <w:rsid w:val="00250869"/>
    <w:rsid w:val="002545E3"/>
    <w:rsid w:val="002644BB"/>
    <w:rsid w:val="002709DF"/>
    <w:rsid w:val="00281242"/>
    <w:rsid w:val="002A508A"/>
    <w:rsid w:val="002A5100"/>
    <w:rsid w:val="002B6014"/>
    <w:rsid w:val="002B6CF7"/>
    <w:rsid w:val="002D435A"/>
    <w:rsid w:val="002F2133"/>
    <w:rsid w:val="002F2350"/>
    <w:rsid w:val="002F2D01"/>
    <w:rsid w:val="00310FE2"/>
    <w:rsid w:val="003125B2"/>
    <w:rsid w:val="00331F11"/>
    <w:rsid w:val="003348AC"/>
    <w:rsid w:val="00344354"/>
    <w:rsid w:val="00354A6E"/>
    <w:rsid w:val="00355143"/>
    <w:rsid w:val="003634E1"/>
    <w:rsid w:val="003706A3"/>
    <w:rsid w:val="00375C5C"/>
    <w:rsid w:val="00375D17"/>
    <w:rsid w:val="003777D2"/>
    <w:rsid w:val="00380B62"/>
    <w:rsid w:val="003810F6"/>
    <w:rsid w:val="003858A5"/>
    <w:rsid w:val="003A22AF"/>
    <w:rsid w:val="003A234E"/>
    <w:rsid w:val="003A4E96"/>
    <w:rsid w:val="003A5D2A"/>
    <w:rsid w:val="003B46F4"/>
    <w:rsid w:val="003B58AF"/>
    <w:rsid w:val="003C13A5"/>
    <w:rsid w:val="003C7E9C"/>
    <w:rsid w:val="003F0F7A"/>
    <w:rsid w:val="003F504B"/>
    <w:rsid w:val="004008A8"/>
    <w:rsid w:val="00401688"/>
    <w:rsid w:val="004115B7"/>
    <w:rsid w:val="00413D59"/>
    <w:rsid w:val="00464B68"/>
    <w:rsid w:val="004830F7"/>
    <w:rsid w:val="00484310"/>
    <w:rsid w:val="00484628"/>
    <w:rsid w:val="004909BC"/>
    <w:rsid w:val="00493FBB"/>
    <w:rsid w:val="004947CC"/>
    <w:rsid w:val="00497823"/>
    <w:rsid w:val="004C23BC"/>
    <w:rsid w:val="004C79A6"/>
    <w:rsid w:val="004CEA1C"/>
    <w:rsid w:val="004E11E8"/>
    <w:rsid w:val="004F6093"/>
    <w:rsid w:val="005077FD"/>
    <w:rsid w:val="00523A3E"/>
    <w:rsid w:val="00527C0E"/>
    <w:rsid w:val="00531FAC"/>
    <w:rsid w:val="00532422"/>
    <w:rsid w:val="0053262A"/>
    <w:rsid w:val="00546A4E"/>
    <w:rsid w:val="0055126E"/>
    <w:rsid w:val="00563D38"/>
    <w:rsid w:val="005656C2"/>
    <w:rsid w:val="00590B34"/>
    <w:rsid w:val="00591B6F"/>
    <w:rsid w:val="00591EFD"/>
    <w:rsid w:val="005A5B72"/>
    <w:rsid w:val="005B1DDA"/>
    <w:rsid w:val="005B661E"/>
    <w:rsid w:val="005B68E6"/>
    <w:rsid w:val="005C6A98"/>
    <w:rsid w:val="005E4C64"/>
    <w:rsid w:val="005E58DC"/>
    <w:rsid w:val="005F0F01"/>
    <w:rsid w:val="005F1AF3"/>
    <w:rsid w:val="005F7333"/>
    <w:rsid w:val="0062754E"/>
    <w:rsid w:val="00630DF6"/>
    <w:rsid w:val="00636912"/>
    <w:rsid w:val="0064152F"/>
    <w:rsid w:val="00645E85"/>
    <w:rsid w:val="00657EE6"/>
    <w:rsid w:val="00665D90"/>
    <w:rsid w:val="00665E4E"/>
    <w:rsid w:val="00670043"/>
    <w:rsid w:val="00673BD3"/>
    <w:rsid w:val="00680585"/>
    <w:rsid w:val="00687C49"/>
    <w:rsid w:val="006A0D23"/>
    <w:rsid w:val="006A5EB1"/>
    <w:rsid w:val="006A7CF6"/>
    <w:rsid w:val="006B4229"/>
    <w:rsid w:val="006B58B9"/>
    <w:rsid w:val="006B7DE8"/>
    <w:rsid w:val="006C5DEF"/>
    <w:rsid w:val="006D0046"/>
    <w:rsid w:val="006D0657"/>
    <w:rsid w:val="006E156A"/>
    <w:rsid w:val="00705E28"/>
    <w:rsid w:val="00713B45"/>
    <w:rsid w:val="00732C80"/>
    <w:rsid w:val="00733036"/>
    <w:rsid w:val="00734B08"/>
    <w:rsid w:val="00743378"/>
    <w:rsid w:val="007610F0"/>
    <w:rsid w:val="007636FB"/>
    <w:rsid w:val="007638CC"/>
    <w:rsid w:val="007667B5"/>
    <w:rsid w:val="007743D0"/>
    <w:rsid w:val="00781159"/>
    <w:rsid w:val="0078192D"/>
    <w:rsid w:val="00796976"/>
    <w:rsid w:val="00796D62"/>
    <w:rsid w:val="007A59FA"/>
    <w:rsid w:val="007B1241"/>
    <w:rsid w:val="007C270D"/>
    <w:rsid w:val="007C3266"/>
    <w:rsid w:val="007C4C18"/>
    <w:rsid w:val="007D7EF0"/>
    <w:rsid w:val="007E1DB1"/>
    <w:rsid w:val="007E4F5D"/>
    <w:rsid w:val="007F26DE"/>
    <w:rsid w:val="00801880"/>
    <w:rsid w:val="00802A54"/>
    <w:rsid w:val="008267B2"/>
    <w:rsid w:val="00833532"/>
    <w:rsid w:val="00836964"/>
    <w:rsid w:val="00847760"/>
    <w:rsid w:val="00863221"/>
    <w:rsid w:val="008711E3"/>
    <w:rsid w:val="008A2D53"/>
    <w:rsid w:val="008A5B4D"/>
    <w:rsid w:val="008B2CDA"/>
    <w:rsid w:val="008D0D39"/>
    <w:rsid w:val="008D3827"/>
    <w:rsid w:val="008D6FB0"/>
    <w:rsid w:val="008E0DAC"/>
    <w:rsid w:val="008E4556"/>
    <w:rsid w:val="008F10BF"/>
    <w:rsid w:val="008F7131"/>
    <w:rsid w:val="00907450"/>
    <w:rsid w:val="009347D5"/>
    <w:rsid w:val="009372C7"/>
    <w:rsid w:val="00940847"/>
    <w:rsid w:val="00941DFD"/>
    <w:rsid w:val="00944FFF"/>
    <w:rsid w:val="0094679F"/>
    <w:rsid w:val="00952519"/>
    <w:rsid w:val="00963C4F"/>
    <w:rsid w:val="0096433D"/>
    <w:rsid w:val="00977BC4"/>
    <w:rsid w:val="009959FF"/>
    <w:rsid w:val="009A55FA"/>
    <w:rsid w:val="009A7048"/>
    <w:rsid w:val="009B0C60"/>
    <w:rsid w:val="009B288D"/>
    <w:rsid w:val="009C73FD"/>
    <w:rsid w:val="009D4521"/>
    <w:rsid w:val="009E138E"/>
    <w:rsid w:val="00A02873"/>
    <w:rsid w:val="00A06748"/>
    <w:rsid w:val="00A22817"/>
    <w:rsid w:val="00A30BF3"/>
    <w:rsid w:val="00A34796"/>
    <w:rsid w:val="00A47D81"/>
    <w:rsid w:val="00A7396B"/>
    <w:rsid w:val="00A759E2"/>
    <w:rsid w:val="00A764AD"/>
    <w:rsid w:val="00A83029"/>
    <w:rsid w:val="00A949CF"/>
    <w:rsid w:val="00A97A57"/>
    <w:rsid w:val="00AA04F1"/>
    <w:rsid w:val="00AA0D2C"/>
    <w:rsid w:val="00AA2A75"/>
    <w:rsid w:val="00AB3B4B"/>
    <w:rsid w:val="00AB4121"/>
    <w:rsid w:val="00AC2524"/>
    <w:rsid w:val="00AC2E5B"/>
    <w:rsid w:val="00AC4B38"/>
    <w:rsid w:val="00AD3FCF"/>
    <w:rsid w:val="00AE3FB0"/>
    <w:rsid w:val="00AE4308"/>
    <w:rsid w:val="00AE45C7"/>
    <w:rsid w:val="00AF2D80"/>
    <w:rsid w:val="00AF3787"/>
    <w:rsid w:val="00AF427D"/>
    <w:rsid w:val="00B0389E"/>
    <w:rsid w:val="00B05B3F"/>
    <w:rsid w:val="00B14FC5"/>
    <w:rsid w:val="00B17F1B"/>
    <w:rsid w:val="00B306C7"/>
    <w:rsid w:val="00B431D2"/>
    <w:rsid w:val="00B519C4"/>
    <w:rsid w:val="00B542D5"/>
    <w:rsid w:val="00B5655D"/>
    <w:rsid w:val="00B62B54"/>
    <w:rsid w:val="00B72663"/>
    <w:rsid w:val="00B7546E"/>
    <w:rsid w:val="00B75DD3"/>
    <w:rsid w:val="00B80904"/>
    <w:rsid w:val="00B9284A"/>
    <w:rsid w:val="00B93042"/>
    <w:rsid w:val="00B958E5"/>
    <w:rsid w:val="00B971D5"/>
    <w:rsid w:val="00BA39BE"/>
    <w:rsid w:val="00BB2517"/>
    <w:rsid w:val="00BB6C18"/>
    <w:rsid w:val="00BB792B"/>
    <w:rsid w:val="00BC3758"/>
    <w:rsid w:val="00BD116F"/>
    <w:rsid w:val="00BD2E58"/>
    <w:rsid w:val="00BD38D4"/>
    <w:rsid w:val="00BD7861"/>
    <w:rsid w:val="00BE3049"/>
    <w:rsid w:val="00BE6BB1"/>
    <w:rsid w:val="00BF43DB"/>
    <w:rsid w:val="00BF54AA"/>
    <w:rsid w:val="00C152AF"/>
    <w:rsid w:val="00C17B58"/>
    <w:rsid w:val="00C24D9C"/>
    <w:rsid w:val="00C331D1"/>
    <w:rsid w:val="00C35661"/>
    <w:rsid w:val="00C468D7"/>
    <w:rsid w:val="00C47869"/>
    <w:rsid w:val="00C5122E"/>
    <w:rsid w:val="00C56C37"/>
    <w:rsid w:val="00C74DF7"/>
    <w:rsid w:val="00C74E5A"/>
    <w:rsid w:val="00C82AEF"/>
    <w:rsid w:val="00C8604B"/>
    <w:rsid w:val="00C87E38"/>
    <w:rsid w:val="00C90D27"/>
    <w:rsid w:val="00C91191"/>
    <w:rsid w:val="00C9380D"/>
    <w:rsid w:val="00CA4BFF"/>
    <w:rsid w:val="00CA626C"/>
    <w:rsid w:val="00CB153B"/>
    <w:rsid w:val="00CB422C"/>
    <w:rsid w:val="00CB444B"/>
    <w:rsid w:val="00CB6E69"/>
    <w:rsid w:val="00CC0FCA"/>
    <w:rsid w:val="00CE0EAB"/>
    <w:rsid w:val="00CF6717"/>
    <w:rsid w:val="00D00E0C"/>
    <w:rsid w:val="00D0222D"/>
    <w:rsid w:val="00D0574A"/>
    <w:rsid w:val="00D10BB4"/>
    <w:rsid w:val="00D10DAA"/>
    <w:rsid w:val="00D25131"/>
    <w:rsid w:val="00D42138"/>
    <w:rsid w:val="00D456C8"/>
    <w:rsid w:val="00D518C1"/>
    <w:rsid w:val="00D54A76"/>
    <w:rsid w:val="00D572B8"/>
    <w:rsid w:val="00D6028C"/>
    <w:rsid w:val="00D665DB"/>
    <w:rsid w:val="00D67829"/>
    <w:rsid w:val="00D74310"/>
    <w:rsid w:val="00D8519A"/>
    <w:rsid w:val="00D939D1"/>
    <w:rsid w:val="00D95AC1"/>
    <w:rsid w:val="00DB3418"/>
    <w:rsid w:val="00DB4C0D"/>
    <w:rsid w:val="00DB58DE"/>
    <w:rsid w:val="00DC4E5A"/>
    <w:rsid w:val="00DC5FF1"/>
    <w:rsid w:val="00DC7D89"/>
    <w:rsid w:val="00DD0332"/>
    <w:rsid w:val="00DD7230"/>
    <w:rsid w:val="00DE2AD0"/>
    <w:rsid w:val="00DE5297"/>
    <w:rsid w:val="00DE52F1"/>
    <w:rsid w:val="00DF27C8"/>
    <w:rsid w:val="00DF53B7"/>
    <w:rsid w:val="00E06F79"/>
    <w:rsid w:val="00E14FC3"/>
    <w:rsid w:val="00E46FFE"/>
    <w:rsid w:val="00E506C9"/>
    <w:rsid w:val="00E50F95"/>
    <w:rsid w:val="00E57264"/>
    <w:rsid w:val="00E60397"/>
    <w:rsid w:val="00E65FD6"/>
    <w:rsid w:val="00E7086C"/>
    <w:rsid w:val="00E72323"/>
    <w:rsid w:val="00E9199D"/>
    <w:rsid w:val="00E91D34"/>
    <w:rsid w:val="00E92D5C"/>
    <w:rsid w:val="00E93C70"/>
    <w:rsid w:val="00EB150E"/>
    <w:rsid w:val="00EC48DF"/>
    <w:rsid w:val="00ED0A5E"/>
    <w:rsid w:val="00EE1381"/>
    <w:rsid w:val="00EF1070"/>
    <w:rsid w:val="00EF22AE"/>
    <w:rsid w:val="00EF289F"/>
    <w:rsid w:val="00EF4658"/>
    <w:rsid w:val="00EF4CD0"/>
    <w:rsid w:val="00EF4D1E"/>
    <w:rsid w:val="00F0343B"/>
    <w:rsid w:val="00F03AC1"/>
    <w:rsid w:val="00F13ADA"/>
    <w:rsid w:val="00F17703"/>
    <w:rsid w:val="00F223E8"/>
    <w:rsid w:val="00F347FD"/>
    <w:rsid w:val="00F41738"/>
    <w:rsid w:val="00F41D0F"/>
    <w:rsid w:val="00F50D49"/>
    <w:rsid w:val="00F53923"/>
    <w:rsid w:val="00F54FCB"/>
    <w:rsid w:val="00F74F3C"/>
    <w:rsid w:val="00F77E77"/>
    <w:rsid w:val="00F810A0"/>
    <w:rsid w:val="00F82776"/>
    <w:rsid w:val="00F84E17"/>
    <w:rsid w:val="00FA2B1A"/>
    <w:rsid w:val="00FB7A26"/>
    <w:rsid w:val="00FC0A82"/>
    <w:rsid w:val="00FC32D8"/>
    <w:rsid w:val="00FD5B06"/>
    <w:rsid w:val="00FE2D83"/>
    <w:rsid w:val="00FE542A"/>
    <w:rsid w:val="00FF26ED"/>
    <w:rsid w:val="013D97ED"/>
    <w:rsid w:val="026D1952"/>
    <w:rsid w:val="027B2475"/>
    <w:rsid w:val="02BAC2AB"/>
    <w:rsid w:val="02CCABF6"/>
    <w:rsid w:val="033B7939"/>
    <w:rsid w:val="0365891C"/>
    <w:rsid w:val="039BF56A"/>
    <w:rsid w:val="04B511A4"/>
    <w:rsid w:val="04C54575"/>
    <w:rsid w:val="05C8E17E"/>
    <w:rsid w:val="05EB38BC"/>
    <w:rsid w:val="06042D9C"/>
    <w:rsid w:val="06851F1B"/>
    <w:rsid w:val="06F68FAA"/>
    <w:rsid w:val="0710680C"/>
    <w:rsid w:val="071F5649"/>
    <w:rsid w:val="081F38D6"/>
    <w:rsid w:val="083A4964"/>
    <w:rsid w:val="084B063A"/>
    <w:rsid w:val="08AA47C1"/>
    <w:rsid w:val="08BB9DA4"/>
    <w:rsid w:val="093F2D2E"/>
    <w:rsid w:val="09632980"/>
    <w:rsid w:val="097F8E3B"/>
    <w:rsid w:val="09E450F7"/>
    <w:rsid w:val="0A7B48DF"/>
    <w:rsid w:val="0A9C52A1"/>
    <w:rsid w:val="0B7C970E"/>
    <w:rsid w:val="0DACE3C9"/>
    <w:rsid w:val="0DB5EF7F"/>
    <w:rsid w:val="0DD38424"/>
    <w:rsid w:val="0DEAF0B1"/>
    <w:rsid w:val="0DF4DCFA"/>
    <w:rsid w:val="0E2B584F"/>
    <w:rsid w:val="0E589E33"/>
    <w:rsid w:val="0EA5A331"/>
    <w:rsid w:val="0EC8DA88"/>
    <w:rsid w:val="1048C9A0"/>
    <w:rsid w:val="112B553A"/>
    <w:rsid w:val="118FCD7A"/>
    <w:rsid w:val="11EB5D0B"/>
    <w:rsid w:val="12CFA0DE"/>
    <w:rsid w:val="131E2B6A"/>
    <w:rsid w:val="135B6F6A"/>
    <w:rsid w:val="137A1658"/>
    <w:rsid w:val="13974454"/>
    <w:rsid w:val="144D9B11"/>
    <w:rsid w:val="147344AE"/>
    <w:rsid w:val="1498783A"/>
    <w:rsid w:val="14A2971F"/>
    <w:rsid w:val="15155928"/>
    <w:rsid w:val="1557B50E"/>
    <w:rsid w:val="15795CF5"/>
    <w:rsid w:val="15E96CD6"/>
    <w:rsid w:val="1699C371"/>
    <w:rsid w:val="16D5BC98"/>
    <w:rsid w:val="17A5060C"/>
    <w:rsid w:val="18EDA497"/>
    <w:rsid w:val="191E9390"/>
    <w:rsid w:val="19D68389"/>
    <w:rsid w:val="1A36D1D6"/>
    <w:rsid w:val="1A75085B"/>
    <w:rsid w:val="1B1A48AA"/>
    <w:rsid w:val="1BCFAB0B"/>
    <w:rsid w:val="1C659303"/>
    <w:rsid w:val="1C78772F"/>
    <w:rsid w:val="1C7D5ED0"/>
    <w:rsid w:val="1D2BE42E"/>
    <w:rsid w:val="1D85627F"/>
    <w:rsid w:val="1EC17A1E"/>
    <w:rsid w:val="1FB324D4"/>
    <w:rsid w:val="205D9DA8"/>
    <w:rsid w:val="20AE9BC2"/>
    <w:rsid w:val="20BD0341"/>
    <w:rsid w:val="20C535F4"/>
    <w:rsid w:val="215F8056"/>
    <w:rsid w:val="21B59629"/>
    <w:rsid w:val="21BF725A"/>
    <w:rsid w:val="22089EA3"/>
    <w:rsid w:val="2250E70D"/>
    <w:rsid w:val="2351668A"/>
    <w:rsid w:val="254AF095"/>
    <w:rsid w:val="264833AA"/>
    <w:rsid w:val="282FB990"/>
    <w:rsid w:val="2834B513"/>
    <w:rsid w:val="28949EF1"/>
    <w:rsid w:val="29072260"/>
    <w:rsid w:val="29342721"/>
    <w:rsid w:val="29938569"/>
    <w:rsid w:val="29B1C0AF"/>
    <w:rsid w:val="2A50C9BD"/>
    <w:rsid w:val="2A70ABB0"/>
    <w:rsid w:val="2AB5CBC7"/>
    <w:rsid w:val="2AF1052B"/>
    <w:rsid w:val="2BCF84D5"/>
    <w:rsid w:val="2CEF8512"/>
    <w:rsid w:val="2CF31339"/>
    <w:rsid w:val="2DC5FEAD"/>
    <w:rsid w:val="2E1553E3"/>
    <w:rsid w:val="2E28A5ED"/>
    <w:rsid w:val="2F034083"/>
    <w:rsid w:val="2F500972"/>
    <w:rsid w:val="2F506428"/>
    <w:rsid w:val="2F549502"/>
    <w:rsid w:val="2FB500E4"/>
    <w:rsid w:val="309F79C1"/>
    <w:rsid w:val="30FD9F6F"/>
    <w:rsid w:val="31E77EA0"/>
    <w:rsid w:val="31F0CAEA"/>
    <w:rsid w:val="348C5FCE"/>
    <w:rsid w:val="34D70F00"/>
    <w:rsid w:val="36114129"/>
    <w:rsid w:val="361242BB"/>
    <w:rsid w:val="367B76A7"/>
    <w:rsid w:val="379DCFEC"/>
    <w:rsid w:val="37FDB4A5"/>
    <w:rsid w:val="3803DAC8"/>
    <w:rsid w:val="38C29A4F"/>
    <w:rsid w:val="3915960D"/>
    <w:rsid w:val="397B31AA"/>
    <w:rsid w:val="397BFBF3"/>
    <w:rsid w:val="39C436F6"/>
    <w:rsid w:val="39CAF031"/>
    <w:rsid w:val="3A437A3A"/>
    <w:rsid w:val="3A62BEE7"/>
    <w:rsid w:val="3A6DD387"/>
    <w:rsid w:val="3A814419"/>
    <w:rsid w:val="3A89BB29"/>
    <w:rsid w:val="3AA481B5"/>
    <w:rsid w:val="3B9FD61F"/>
    <w:rsid w:val="3C0D60DD"/>
    <w:rsid w:val="3C8C276E"/>
    <w:rsid w:val="3D9CF05A"/>
    <w:rsid w:val="3EBE1FCE"/>
    <w:rsid w:val="3ED1F736"/>
    <w:rsid w:val="3F34DE77"/>
    <w:rsid w:val="3FCF8ED9"/>
    <w:rsid w:val="401D3327"/>
    <w:rsid w:val="41018E9E"/>
    <w:rsid w:val="4144B232"/>
    <w:rsid w:val="41C8B85D"/>
    <w:rsid w:val="41DEC0FD"/>
    <w:rsid w:val="425AB802"/>
    <w:rsid w:val="42D39CDF"/>
    <w:rsid w:val="43E91065"/>
    <w:rsid w:val="44D4338F"/>
    <w:rsid w:val="4527F06A"/>
    <w:rsid w:val="4588A5D1"/>
    <w:rsid w:val="460423D9"/>
    <w:rsid w:val="46564123"/>
    <w:rsid w:val="4710A702"/>
    <w:rsid w:val="4886C46E"/>
    <w:rsid w:val="48DCE07A"/>
    <w:rsid w:val="48DE05B2"/>
    <w:rsid w:val="494FC417"/>
    <w:rsid w:val="49704187"/>
    <w:rsid w:val="49AEECE3"/>
    <w:rsid w:val="4A419114"/>
    <w:rsid w:val="4AFB7703"/>
    <w:rsid w:val="4BE3CC3B"/>
    <w:rsid w:val="4C9E93FD"/>
    <w:rsid w:val="4CD0E3BC"/>
    <w:rsid w:val="4D935DA7"/>
    <w:rsid w:val="4E692848"/>
    <w:rsid w:val="50F625C0"/>
    <w:rsid w:val="50F7638D"/>
    <w:rsid w:val="51E81CDE"/>
    <w:rsid w:val="52D7AF2F"/>
    <w:rsid w:val="535B5073"/>
    <w:rsid w:val="5434EC80"/>
    <w:rsid w:val="544C8A06"/>
    <w:rsid w:val="5455D101"/>
    <w:rsid w:val="5552543D"/>
    <w:rsid w:val="5579CBB2"/>
    <w:rsid w:val="55B282D0"/>
    <w:rsid w:val="55BD1BFC"/>
    <w:rsid w:val="563AA153"/>
    <w:rsid w:val="56528CEF"/>
    <w:rsid w:val="5685D04D"/>
    <w:rsid w:val="56DFE202"/>
    <w:rsid w:val="578220A1"/>
    <w:rsid w:val="57F4B722"/>
    <w:rsid w:val="58433C21"/>
    <w:rsid w:val="585DB8A5"/>
    <w:rsid w:val="5908D2A2"/>
    <w:rsid w:val="590A8D7D"/>
    <w:rsid w:val="593C05EA"/>
    <w:rsid w:val="59F7BD6F"/>
    <w:rsid w:val="5BB6AA69"/>
    <w:rsid w:val="5BF23B87"/>
    <w:rsid w:val="5BF98CB4"/>
    <w:rsid w:val="5C290381"/>
    <w:rsid w:val="5C36BC22"/>
    <w:rsid w:val="5CA244B7"/>
    <w:rsid w:val="5CC5FD36"/>
    <w:rsid w:val="5D5B21B5"/>
    <w:rsid w:val="5E0FF061"/>
    <w:rsid w:val="5E935D45"/>
    <w:rsid w:val="5F422CFF"/>
    <w:rsid w:val="5F9EBB51"/>
    <w:rsid w:val="5FC4D0E3"/>
    <w:rsid w:val="61126B3B"/>
    <w:rsid w:val="6157AC86"/>
    <w:rsid w:val="61596F98"/>
    <w:rsid w:val="616A05EC"/>
    <w:rsid w:val="61A67B4B"/>
    <w:rsid w:val="61C8A658"/>
    <w:rsid w:val="61E5184B"/>
    <w:rsid w:val="622292E9"/>
    <w:rsid w:val="624DBF6B"/>
    <w:rsid w:val="62AF81BE"/>
    <w:rsid w:val="63461DBC"/>
    <w:rsid w:val="6371FEB4"/>
    <w:rsid w:val="63E764BD"/>
    <w:rsid w:val="640DD3A2"/>
    <w:rsid w:val="643281CF"/>
    <w:rsid w:val="64D33A2A"/>
    <w:rsid w:val="64DB27B0"/>
    <w:rsid w:val="6579B401"/>
    <w:rsid w:val="66C3AC55"/>
    <w:rsid w:val="66DBA65D"/>
    <w:rsid w:val="673A0247"/>
    <w:rsid w:val="677A02FD"/>
    <w:rsid w:val="67C8B11C"/>
    <w:rsid w:val="68350B4F"/>
    <w:rsid w:val="68A1AD83"/>
    <w:rsid w:val="6AC49EA3"/>
    <w:rsid w:val="6B6CAC11"/>
    <w:rsid w:val="6BF9CBB5"/>
    <w:rsid w:val="6C2BA417"/>
    <w:rsid w:val="6C30178F"/>
    <w:rsid w:val="6C63A0CA"/>
    <w:rsid w:val="6E2744A9"/>
    <w:rsid w:val="6E37F2A0"/>
    <w:rsid w:val="6E68E199"/>
    <w:rsid w:val="6E8BF22C"/>
    <w:rsid w:val="6EAC3A59"/>
    <w:rsid w:val="6F0115F1"/>
    <w:rsid w:val="6F1AD4CB"/>
    <w:rsid w:val="703A8A0B"/>
    <w:rsid w:val="70CCC750"/>
    <w:rsid w:val="714CC535"/>
    <w:rsid w:val="71E7BCC7"/>
    <w:rsid w:val="728C57C8"/>
    <w:rsid w:val="74184F13"/>
    <w:rsid w:val="74A73424"/>
    <w:rsid w:val="74D8231D"/>
    <w:rsid w:val="751FA9C2"/>
    <w:rsid w:val="75780697"/>
    <w:rsid w:val="75CD493A"/>
    <w:rsid w:val="761CBB01"/>
    <w:rsid w:val="76595FC3"/>
    <w:rsid w:val="77947825"/>
    <w:rsid w:val="77F53024"/>
    <w:rsid w:val="78BD43B4"/>
    <w:rsid w:val="78F80A2A"/>
    <w:rsid w:val="7925C9AF"/>
    <w:rsid w:val="798292CD"/>
    <w:rsid w:val="7A6C71FE"/>
    <w:rsid w:val="7A849A1C"/>
    <w:rsid w:val="7AB6934A"/>
    <w:rsid w:val="7B3842C7"/>
    <w:rsid w:val="7B7BE754"/>
    <w:rsid w:val="7BB497E8"/>
    <w:rsid w:val="7C777144"/>
    <w:rsid w:val="7D19EB86"/>
    <w:rsid w:val="7D955B05"/>
    <w:rsid w:val="7E3CDB93"/>
    <w:rsid w:val="7ED69401"/>
    <w:rsid w:val="7FD8CD1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865B1"/>
  <w15:chartTrackingRefBased/>
  <w15:docId w15:val="{921D252C-2CA9-4BDB-B6ED-61BD8245D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CDA"/>
    <w:pPr>
      <w:spacing w:after="200" w:line="264" w:lineRule="auto"/>
    </w:pPr>
    <w:rPr>
      <w:rFonts w:ascii="Tablet Gothic" w:hAnsi="Tablet Gothic" w:cs="Arial"/>
      <w:color w:val="00615F" w:themeColor="text1"/>
    </w:rPr>
  </w:style>
  <w:style w:type="paragraph" w:styleId="Heading1">
    <w:name w:val="heading 1"/>
    <w:next w:val="Normal"/>
    <w:link w:val="Heading1Char"/>
    <w:uiPriority w:val="9"/>
    <w:qFormat/>
    <w:rsid w:val="00DC4E5A"/>
    <w:pPr>
      <w:spacing w:after="400"/>
      <w:outlineLvl w:val="0"/>
    </w:pPr>
    <w:rPr>
      <w:rFonts w:ascii="Roc Grotesk" w:hAnsi="Roc Grotesk" w:cs="Arial"/>
      <w:b/>
      <w:bCs/>
      <w:color w:val="00615F" w:themeColor="text1"/>
      <w:sz w:val="48"/>
      <w:szCs w:val="48"/>
    </w:rPr>
  </w:style>
  <w:style w:type="paragraph" w:styleId="Heading2">
    <w:name w:val="heading 2"/>
    <w:next w:val="Normal"/>
    <w:link w:val="Heading2Char"/>
    <w:uiPriority w:val="9"/>
    <w:unhideWhenUsed/>
    <w:qFormat/>
    <w:rsid w:val="00DC4E5A"/>
    <w:pPr>
      <w:spacing w:after="200" w:line="264" w:lineRule="auto"/>
      <w:outlineLvl w:val="1"/>
    </w:pPr>
    <w:rPr>
      <w:rFonts w:ascii="Roc Grotesk" w:hAnsi="Roc Grotesk" w:cs="Arial"/>
      <w:color w:val="47D985" w:themeColor="accent2"/>
      <w:sz w:val="32"/>
      <w:szCs w:val="32"/>
    </w:rPr>
  </w:style>
  <w:style w:type="paragraph" w:styleId="Heading3">
    <w:name w:val="heading 3"/>
    <w:next w:val="Normal"/>
    <w:link w:val="Heading3Char"/>
    <w:uiPriority w:val="9"/>
    <w:unhideWhenUsed/>
    <w:qFormat/>
    <w:rsid w:val="00DC4E5A"/>
    <w:pPr>
      <w:spacing w:after="200"/>
      <w:outlineLvl w:val="2"/>
    </w:pPr>
    <w:rPr>
      <w:rFonts w:ascii="Tablet Gothic" w:hAnsi="Tablet Gothic" w:cs="Arial"/>
      <w:b/>
      <w:bCs/>
      <w:color w:val="00615F" w:themeColor="text1"/>
    </w:rPr>
  </w:style>
  <w:style w:type="paragraph" w:styleId="Heading4">
    <w:name w:val="heading 4"/>
    <w:next w:val="Normal"/>
    <w:link w:val="Heading4Char"/>
    <w:uiPriority w:val="9"/>
    <w:semiHidden/>
    <w:unhideWhenUsed/>
    <w:qFormat/>
    <w:rsid w:val="0008200E"/>
    <w:pPr>
      <w:keepNext/>
      <w:keepLines/>
      <w:spacing w:before="40"/>
      <w:outlineLvl w:val="3"/>
    </w:pPr>
    <w:rPr>
      <w:rFonts w:ascii="Tablet Gothic" w:eastAsiaTheme="majorEastAsia" w:hAnsi="Tablet Gothic" w:cstheme="majorBidi"/>
      <w:iCs/>
      <w:color w:val="00484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link w:val="HeaderChar"/>
    <w:uiPriority w:val="99"/>
    <w:unhideWhenUsed/>
    <w:rsid w:val="008B2CDA"/>
    <w:pPr>
      <w:spacing w:after="0"/>
    </w:pPr>
  </w:style>
  <w:style w:type="character" w:customStyle="1" w:styleId="HeaderChar">
    <w:name w:val="Header Char"/>
    <w:basedOn w:val="DefaultParagraphFont"/>
    <w:link w:val="Header"/>
    <w:uiPriority w:val="99"/>
    <w:rsid w:val="008B2CDA"/>
    <w:rPr>
      <w:rFonts w:ascii="Tablet Gothic" w:hAnsi="Tablet Gothic" w:cs="Arial"/>
      <w:color w:val="00615F" w:themeColor="text1"/>
      <w:sz w:val="20"/>
      <w:szCs w:val="20"/>
    </w:rPr>
  </w:style>
  <w:style w:type="paragraph" w:styleId="Footer">
    <w:name w:val="footer"/>
    <w:basedOn w:val="Normal"/>
    <w:link w:val="FooterChar"/>
    <w:uiPriority w:val="99"/>
    <w:unhideWhenUsed/>
    <w:rsid w:val="008B2CDA"/>
    <w:pPr>
      <w:tabs>
        <w:tab w:val="center" w:pos="4513"/>
        <w:tab w:val="right" w:pos="9026"/>
      </w:tabs>
    </w:pPr>
    <w:rPr>
      <w:sz w:val="20"/>
      <w:szCs w:val="20"/>
    </w:rPr>
  </w:style>
  <w:style w:type="character" w:customStyle="1" w:styleId="FooterChar">
    <w:name w:val="Footer Char"/>
    <w:basedOn w:val="DefaultParagraphFont"/>
    <w:link w:val="Footer"/>
    <w:uiPriority w:val="99"/>
    <w:rsid w:val="008B2CDA"/>
    <w:rPr>
      <w:rFonts w:ascii="Tablet Gothic" w:hAnsi="Tablet Gothic" w:cs="Arial"/>
      <w:color w:val="00615F" w:themeColor="text1"/>
      <w:sz w:val="20"/>
      <w:szCs w:val="20"/>
    </w:rPr>
  </w:style>
  <w:style w:type="table" w:styleId="TableGrid">
    <w:name w:val="Table Grid"/>
    <w:basedOn w:val="TableNormal"/>
    <w:uiPriority w:val="39"/>
    <w:rsid w:val="00DF5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53B7"/>
    <w:rPr>
      <w:color w:val="47D985" w:themeColor="hyperlink"/>
      <w:u w:val="single"/>
    </w:rPr>
  </w:style>
  <w:style w:type="character" w:styleId="UnresolvedMention">
    <w:name w:val="Unresolved Mention"/>
    <w:basedOn w:val="DefaultParagraphFont"/>
    <w:uiPriority w:val="99"/>
    <w:semiHidden/>
    <w:unhideWhenUsed/>
    <w:rsid w:val="00DF53B7"/>
    <w:rPr>
      <w:color w:val="605E5C"/>
      <w:shd w:val="clear" w:color="auto" w:fill="E1DFDD"/>
    </w:rPr>
  </w:style>
  <w:style w:type="character" w:styleId="PageNumber">
    <w:name w:val="page number"/>
    <w:basedOn w:val="DefaultParagraphFont"/>
    <w:uiPriority w:val="99"/>
    <w:semiHidden/>
    <w:unhideWhenUsed/>
    <w:rsid w:val="00713B45"/>
  </w:style>
  <w:style w:type="character" w:customStyle="1" w:styleId="Heading2Char">
    <w:name w:val="Heading 2 Char"/>
    <w:basedOn w:val="DefaultParagraphFont"/>
    <w:link w:val="Heading2"/>
    <w:uiPriority w:val="9"/>
    <w:rsid w:val="00DC4E5A"/>
    <w:rPr>
      <w:rFonts w:ascii="Roc Grotesk" w:hAnsi="Roc Grotesk" w:cs="Arial"/>
      <w:color w:val="47D985" w:themeColor="accent2"/>
      <w:sz w:val="32"/>
      <w:szCs w:val="32"/>
    </w:rPr>
  </w:style>
  <w:style w:type="character" w:styleId="FollowedHyperlink">
    <w:name w:val="FollowedHyperlink"/>
    <w:basedOn w:val="DefaultParagraphFont"/>
    <w:uiPriority w:val="99"/>
    <w:semiHidden/>
    <w:unhideWhenUsed/>
    <w:rsid w:val="008B2CDA"/>
    <w:rPr>
      <w:color w:val="50F79A" w:themeColor="followedHyperlink"/>
      <w:u w:val="single"/>
    </w:rPr>
  </w:style>
  <w:style w:type="character" w:customStyle="1" w:styleId="Heading1Char">
    <w:name w:val="Heading 1 Char"/>
    <w:basedOn w:val="DefaultParagraphFont"/>
    <w:link w:val="Heading1"/>
    <w:uiPriority w:val="9"/>
    <w:rsid w:val="00DC4E5A"/>
    <w:rPr>
      <w:rFonts w:ascii="Roc Grotesk" w:hAnsi="Roc Grotesk" w:cs="Arial"/>
      <w:b/>
      <w:bCs/>
      <w:color w:val="00615F" w:themeColor="text1"/>
      <w:sz w:val="48"/>
      <w:szCs w:val="48"/>
    </w:rPr>
  </w:style>
  <w:style w:type="character" w:customStyle="1" w:styleId="Heading3Char">
    <w:name w:val="Heading 3 Char"/>
    <w:basedOn w:val="DefaultParagraphFont"/>
    <w:link w:val="Heading3"/>
    <w:uiPriority w:val="9"/>
    <w:rsid w:val="00DC4E5A"/>
    <w:rPr>
      <w:rFonts w:ascii="Tablet Gothic" w:hAnsi="Tablet Gothic" w:cs="Arial"/>
      <w:b/>
      <w:bCs/>
      <w:color w:val="00615F" w:themeColor="text1"/>
    </w:rPr>
  </w:style>
  <w:style w:type="character" w:customStyle="1" w:styleId="Heading4Char">
    <w:name w:val="Heading 4 Char"/>
    <w:basedOn w:val="DefaultParagraphFont"/>
    <w:link w:val="Heading4"/>
    <w:uiPriority w:val="9"/>
    <w:semiHidden/>
    <w:rsid w:val="0008200E"/>
    <w:rPr>
      <w:rFonts w:ascii="Tablet Gothic" w:eastAsiaTheme="majorEastAsia" w:hAnsi="Tablet Gothic" w:cstheme="majorBidi"/>
      <w:iCs/>
      <w:color w:val="004846" w:themeColor="accent1" w:themeShade="BF"/>
    </w:rPr>
  </w:style>
  <w:style w:type="paragraph" w:styleId="FootnoteText">
    <w:name w:val="footnote text"/>
    <w:basedOn w:val="Normal"/>
    <w:link w:val="FootnoteTextChar"/>
    <w:uiPriority w:val="99"/>
    <w:semiHidden/>
    <w:unhideWhenUsed/>
    <w:rsid w:val="007638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38CC"/>
    <w:rPr>
      <w:rFonts w:ascii="Tablet Gothic" w:hAnsi="Tablet Gothic" w:cs="Arial"/>
      <w:color w:val="00615F" w:themeColor="text1"/>
      <w:sz w:val="20"/>
      <w:szCs w:val="20"/>
    </w:rPr>
  </w:style>
  <w:style w:type="character" w:styleId="FootnoteReference">
    <w:name w:val="footnote reference"/>
    <w:basedOn w:val="DefaultParagraphFont"/>
    <w:uiPriority w:val="99"/>
    <w:unhideWhenUsed/>
    <w:rsid w:val="007638CC"/>
    <w:rPr>
      <w:vertAlign w:val="superscript"/>
    </w:rPr>
  </w:style>
  <w:style w:type="paragraph" w:styleId="TOCHeading">
    <w:name w:val="TOC Heading"/>
    <w:next w:val="Normal"/>
    <w:uiPriority w:val="39"/>
    <w:unhideWhenUsed/>
    <w:qFormat/>
    <w:rsid w:val="007638CC"/>
    <w:pPr>
      <w:keepNext/>
      <w:keepLines/>
      <w:spacing w:before="480" w:line="276" w:lineRule="auto"/>
    </w:pPr>
    <w:rPr>
      <w:rFonts w:ascii="Roc Grotesk" w:eastAsiaTheme="majorEastAsia" w:hAnsi="Roc Grotesk" w:cstheme="majorBidi"/>
      <w:b/>
      <w:bCs/>
      <w:color w:val="004846" w:themeColor="accent1" w:themeShade="BF"/>
      <w:sz w:val="28"/>
      <w:szCs w:val="28"/>
      <w:lang w:val="en-US"/>
    </w:rPr>
  </w:style>
  <w:style w:type="paragraph" w:styleId="TOC1">
    <w:name w:val="toc 1"/>
    <w:basedOn w:val="Normal"/>
    <w:next w:val="Normal"/>
    <w:autoRedefine/>
    <w:uiPriority w:val="39"/>
    <w:unhideWhenUsed/>
    <w:rsid w:val="007638CC"/>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unhideWhenUsed/>
    <w:rsid w:val="007638CC"/>
    <w:pPr>
      <w:spacing w:before="120" w:after="0"/>
      <w:ind w:left="240"/>
    </w:pPr>
    <w:rPr>
      <w:rFonts w:asciiTheme="minorHAnsi" w:hAnsiTheme="minorHAnsi" w:cstheme="minorHAnsi"/>
      <w:i/>
      <w:iCs/>
      <w:sz w:val="20"/>
      <w:szCs w:val="20"/>
    </w:rPr>
  </w:style>
  <w:style w:type="paragraph" w:styleId="TOC3">
    <w:name w:val="toc 3"/>
    <w:basedOn w:val="Normal"/>
    <w:next w:val="Normal"/>
    <w:autoRedefine/>
    <w:uiPriority w:val="39"/>
    <w:unhideWhenUsed/>
    <w:rsid w:val="007638CC"/>
    <w:pPr>
      <w:spacing w:after="0"/>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7638CC"/>
    <w:pPr>
      <w:spacing w:after="0"/>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7638CC"/>
    <w:pPr>
      <w:spacing w:after="0"/>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7638CC"/>
    <w:pPr>
      <w:spacing w:after="0"/>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7638CC"/>
    <w:pPr>
      <w:spacing w:after="0"/>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7638CC"/>
    <w:pPr>
      <w:spacing w:after="0"/>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7638CC"/>
    <w:pPr>
      <w:spacing w:after="0"/>
      <w:ind w:left="1920"/>
    </w:pPr>
    <w:rPr>
      <w:rFonts w:asciiTheme="minorHAnsi" w:hAnsiTheme="minorHAnsi" w:cstheme="minorHAnsi"/>
      <w:sz w:val="20"/>
      <w:szCs w:val="20"/>
    </w:rPr>
  </w:style>
  <w:style w:type="character" w:styleId="CommentReference">
    <w:name w:val="annotation reference"/>
    <w:basedOn w:val="DefaultParagraphFont"/>
    <w:uiPriority w:val="99"/>
    <w:semiHidden/>
    <w:unhideWhenUsed/>
    <w:rsid w:val="00BB2517"/>
    <w:rPr>
      <w:sz w:val="16"/>
      <w:szCs w:val="16"/>
    </w:rPr>
  </w:style>
  <w:style w:type="paragraph" w:styleId="CommentText">
    <w:name w:val="annotation text"/>
    <w:basedOn w:val="Normal"/>
    <w:link w:val="CommentTextChar"/>
    <w:uiPriority w:val="99"/>
    <w:unhideWhenUsed/>
    <w:rsid w:val="00BB2517"/>
    <w:pPr>
      <w:spacing w:line="240" w:lineRule="auto"/>
    </w:pPr>
    <w:rPr>
      <w:rFonts w:ascii="Calibri" w:eastAsia="Calibri" w:hAnsi="Calibri" w:cs="Times New Roman"/>
      <w:color w:val="auto"/>
      <w:sz w:val="20"/>
      <w:szCs w:val="20"/>
      <w:lang w:val="nl-NL"/>
    </w:rPr>
  </w:style>
  <w:style w:type="character" w:customStyle="1" w:styleId="CommentTextChar">
    <w:name w:val="Comment Text Char"/>
    <w:basedOn w:val="DefaultParagraphFont"/>
    <w:link w:val="CommentText"/>
    <w:uiPriority w:val="99"/>
    <w:rsid w:val="00BB2517"/>
    <w:rPr>
      <w:rFonts w:ascii="Calibri" w:eastAsia="Calibri" w:hAnsi="Calibri" w:cs="Times New Roman"/>
      <w:sz w:val="20"/>
      <w:szCs w:val="20"/>
      <w:lang w:val="nl-NL"/>
    </w:rPr>
  </w:style>
  <w:style w:type="paragraph" w:styleId="CommentSubject">
    <w:name w:val="annotation subject"/>
    <w:basedOn w:val="CommentText"/>
    <w:next w:val="CommentText"/>
    <w:link w:val="CommentSubjectChar"/>
    <w:uiPriority w:val="99"/>
    <w:semiHidden/>
    <w:unhideWhenUsed/>
    <w:rsid w:val="00BB2517"/>
    <w:rPr>
      <w:rFonts w:ascii="Tablet Gothic" w:eastAsiaTheme="minorHAnsi" w:hAnsi="Tablet Gothic" w:cs="Arial"/>
      <w:b/>
      <w:bCs/>
      <w:color w:val="00615F" w:themeColor="text1"/>
      <w:lang w:val="en-AU"/>
    </w:rPr>
  </w:style>
  <w:style w:type="character" w:customStyle="1" w:styleId="CommentSubjectChar">
    <w:name w:val="Comment Subject Char"/>
    <w:basedOn w:val="CommentTextChar"/>
    <w:link w:val="CommentSubject"/>
    <w:uiPriority w:val="99"/>
    <w:semiHidden/>
    <w:rsid w:val="00BB2517"/>
    <w:rPr>
      <w:rFonts w:ascii="Tablet Gothic" w:eastAsia="Calibri" w:hAnsi="Tablet Gothic" w:cs="Arial"/>
      <w:b/>
      <w:bCs/>
      <w:color w:val="00615F" w:themeColor="text1"/>
      <w:sz w:val="20"/>
      <w:szCs w:val="20"/>
      <w:lang w:val="nl-NL"/>
    </w:rPr>
  </w:style>
  <w:style w:type="paragraph" w:styleId="ListParagraph">
    <w:name w:val="List Paragraph"/>
    <w:basedOn w:val="Normal"/>
    <w:link w:val="ListParagraphChar"/>
    <w:uiPriority w:val="34"/>
    <w:qFormat/>
    <w:rsid w:val="00AF2D80"/>
    <w:pPr>
      <w:spacing w:after="160" w:line="259" w:lineRule="auto"/>
      <w:ind w:left="720"/>
      <w:contextualSpacing/>
    </w:pPr>
    <w:rPr>
      <w:rFonts w:asciiTheme="minorHAnsi" w:hAnsiTheme="minorHAnsi" w:cstheme="minorBidi"/>
      <w:color w:val="auto"/>
      <w:sz w:val="22"/>
      <w:szCs w:val="22"/>
      <w:lang w:val="en-GB"/>
    </w:rPr>
  </w:style>
  <w:style w:type="table" w:styleId="TableGridLight">
    <w:name w:val="Grid Table Light"/>
    <w:basedOn w:val="TableNormal"/>
    <w:uiPriority w:val="40"/>
    <w:rsid w:val="009074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D8519A"/>
    <w:rPr>
      <w:rFonts w:ascii="Tablet Gothic" w:hAnsi="Tablet Gothic" w:cs="Arial"/>
      <w:color w:val="00615F" w:themeColor="text1"/>
    </w:rPr>
  </w:style>
  <w:style w:type="paragraph" w:customStyle="1" w:styleId="Default">
    <w:name w:val="Default"/>
    <w:rsid w:val="00D518C1"/>
    <w:pPr>
      <w:autoSpaceDE w:val="0"/>
      <w:autoSpaceDN w:val="0"/>
      <w:adjustRightInd w:val="0"/>
    </w:pPr>
    <w:rPr>
      <w:rFonts w:ascii="Calibri" w:hAnsi="Calibri" w:cs="Calibri"/>
      <w:color w:val="000000"/>
      <w:lang w:val="en-GB"/>
    </w:rPr>
  </w:style>
  <w:style w:type="character" w:customStyle="1" w:styleId="normaltextrun">
    <w:name w:val="normaltextrun"/>
    <w:basedOn w:val="DefaultParagraphFont"/>
    <w:rsid w:val="00941DFD"/>
  </w:style>
  <w:style w:type="table" w:styleId="ListTable3-Accent1">
    <w:name w:val="List Table 3 Accent 1"/>
    <w:basedOn w:val="TableNormal"/>
    <w:uiPriority w:val="48"/>
    <w:rsid w:val="00B971D5"/>
    <w:tblPr>
      <w:tblStyleRowBandSize w:val="1"/>
      <w:tblStyleColBandSize w:val="1"/>
      <w:tblBorders>
        <w:top w:val="single" w:sz="4" w:space="0" w:color="00615F" w:themeColor="accent1"/>
        <w:left w:val="single" w:sz="4" w:space="0" w:color="00615F" w:themeColor="accent1"/>
        <w:bottom w:val="single" w:sz="4" w:space="0" w:color="00615F" w:themeColor="accent1"/>
        <w:right w:val="single" w:sz="4" w:space="0" w:color="00615F" w:themeColor="accent1"/>
      </w:tblBorders>
    </w:tblPr>
    <w:tblStylePr w:type="firstRow">
      <w:rPr>
        <w:b/>
        <w:bCs/>
        <w:color w:val="FFFFFF" w:themeColor="background1"/>
      </w:rPr>
      <w:tblPr/>
      <w:tcPr>
        <w:shd w:val="clear" w:color="auto" w:fill="00615F" w:themeFill="accent1"/>
      </w:tcPr>
    </w:tblStylePr>
    <w:tblStylePr w:type="lastRow">
      <w:rPr>
        <w:b/>
        <w:bCs/>
      </w:rPr>
      <w:tblPr/>
      <w:tcPr>
        <w:tcBorders>
          <w:top w:val="double" w:sz="4" w:space="0" w:color="00615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15F" w:themeColor="accent1"/>
          <w:right w:val="single" w:sz="4" w:space="0" w:color="00615F" w:themeColor="accent1"/>
        </w:tcBorders>
      </w:tcPr>
    </w:tblStylePr>
    <w:tblStylePr w:type="band1Horz">
      <w:tblPr/>
      <w:tcPr>
        <w:tcBorders>
          <w:top w:val="single" w:sz="4" w:space="0" w:color="00615F" w:themeColor="accent1"/>
          <w:bottom w:val="single" w:sz="4" w:space="0" w:color="00615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15F" w:themeColor="accent1"/>
          <w:left w:val="nil"/>
        </w:tcBorders>
      </w:tcPr>
    </w:tblStylePr>
    <w:tblStylePr w:type="swCell">
      <w:tblPr/>
      <w:tcPr>
        <w:tcBorders>
          <w:top w:val="double" w:sz="4" w:space="0" w:color="00615F" w:themeColor="accent1"/>
          <w:right w:val="nil"/>
        </w:tcBorders>
      </w:tcPr>
    </w:tblStylePr>
  </w:style>
  <w:style w:type="paragraph" w:customStyle="1" w:styleId="Numbered">
    <w:name w:val="Numbered"/>
    <w:basedOn w:val="ListParagraph"/>
    <w:link w:val="NumberedChar"/>
    <w:qFormat/>
    <w:rsid w:val="008711E3"/>
    <w:pPr>
      <w:numPr>
        <w:numId w:val="16"/>
      </w:numPr>
      <w:spacing w:before="240" w:after="0" w:line="240" w:lineRule="auto"/>
    </w:pPr>
    <w:rPr>
      <w:rFonts w:ascii="Tablet Gothic" w:hAnsi="Tablet Gothic"/>
      <w:color w:val="00615F" w:themeColor="text1"/>
      <w:lang w:val="en-US"/>
    </w:rPr>
  </w:style>
  <w:style w:type="character" w:customStyle="1" w:styleId="ListParagraphChar">
    <w:name w:val="List Paragraph Char"/>
    <w:basedOn w:val="DefaultParagraphFont"/>
    <w:link w:val="ListParagraph"/>
    <w:uiPriority w:val="34"/>
    <w:rsid w:val="008711E3"/>
    <w:rPr>
      <w:sz w:val="22"/>
      <w:szCs w:val="22"/>
      <w:lang w:val="en-GB"/>
    </w:rPr>
  </w:style>
  <w:style w:type="character" w:customStyle="1" w:styleId="NumberedChar">
    <w:name w:val="Numbered Char"/>
    <w:basedOn w:val="ListParagraphChar"/>
    <w:link w:val="Numbered"/>
    <w:rsid w:val="008711E3"/>
    <w:rPr>
      <w:rFonts w:ascii="Tablet Gothic" w:hAnsi="Tablet Gothic"/>
      <w:color w:val="00615F" w:themeColor="text1"/>
      <w:sz w:val="22"/>
      <w:szCs w:val="22"/>
      <w:lang w:val="en-US"/>
    </w:rPr>
  </w:style>
  <w:style w:type="character" w:customStyle="1" w:styleId="eop">
    <w:name w:val="eop"/>
    <w:basedOn w:val="DefaultParagraphFont"/>
    <w:rsid w:val="001F1C3C"/>
  </w:style>
  <w:style w:type="paragraph" w:customStyle="1" w:styleId="Headingnew">
    <w:name w:val="Heading new"/>
    <w:basedOn w:val="Heading3"/>
    <w:link w:val="HeadingnewChar"/>
    <w:qFormat/>
    <w:rsid w:val="002D435A"/>
    <w:pPr>
      <w:numPr>
        <w:numId w:val="7"/>
      </w:numPr>
      <w:jc w:val="both"/>
    </w:pPr>
    <w:rPr>
      <w:bCs w:val="0"/>
      <w:sz w:val="22"/>
      <w:szCs w:val="22"/>
      <w:lang w:val="en-GB"/>
    </w:rPr>
  </w:style>
  <w:style w:type="character" w:customStyle="1" w:styleId="HeadingnewChar">
    <w:name w:val="Heading new Char"/>
    <w:basedOn w:val="DefaultParagraphFont"/>
    <w:link w:val="Headingnew"/>
    <w:rsid w:val="002D435A"/>
    <w:rPr>
      <w:rFonts w:ascii="Tablet Gothic" w:hAnsi="Tablet Gothic" w:cs="Arial"/>
      <w:b/>
      <w:color w:val="00615F" w:themeColor="text1"/>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029773">
      <w:bodyDiv w:val="1"/>
      <w:marLeft w:val="0"/>
      <w:marRight w:val="0"/>
      <w:marTop w:val="0"/>
      <w:marBottom w:val="0"/>
      <w:divBdr>
        <w:top w:val="none" w:sz="0" w:space="0" w:color="auto"/>
        <w:left w:val="none" w:sz="0" w:space="0" w:color="auto"/>
        <w:bottom w:val="none" w:sz="0" w:space="0" w:color="auto"/>
        <w:right w:val="none" w:sz="0" w:space="0" w:color="auto"/>
      </w:divBdr>
    </w:div>
    <w:div w:id="258612057">
      <w:bodyDiv w:val="1"/>
      <w:marLeft w:val="0"/>
      <w:marRight w:val="0"/>
      <w:marTop w:val="0"/>
      <w:marBottom w:val="0"/>
      <w:divBdr>
        <w:top w:val="none" w:sz="0" w:space="0" w:color="auto"/>
        <w:left w:val="none" w:sz="0" w:space="0" w:color="auto"/>
        <w:bottom w:val="none" w:sz="0" w:space="0" w:color="auto"/>
        <w:right w:val="none" w:sz="0" w:space="0" w:color="auto"/>
      </w:divBdr>
    </w:div>
    <w:div w:id="426925434">
      <w:bodyDiv w:val="1"/>
      <w:marLeft w:val="0"/>
      <w:marRight w:val="0"/>
      <w:marTop w:val="0"/>
      <w:marBottom w:val="0"/>
      <w:divBdr>
        <w:top w:val="none" w:sz="0" w:space="0" w:color="auto"/>
        <w:left w:val="none" w:sz="0" w:space="0" w:color="auto"/>
        <w:bottom w:val="none" w:sz="0" w:space="0" w:color="auto"/>
        <w:right w:val="none" w:sz="0" w:space="0" w:color="auto"/>
      </w:divBdr>
    </w:div>
    <w:div w:id="465128351">
      <w:bodyDiv w:val="1"/>
      <w:marLeft w:val="0"/>
      <w:marRight w:val="0"/>
      <w:marTop w:val="0"/>
      <w:marBottom w:val="0"/>
      <w:divBdr>
        <w:top w:val="none" w:sz="0" w:space="0" w:color="auto"/>
        <w:left w:val="none" w:sz="0" w:space="0" w:color="auto"/>
        <w:bottom w:val="none" w:sz="0" w:space="0" w:color="auto"/>
        <w:right w:val="none" w:sz="0" w:space="0" w:color="auto"/>
      </w:divBdr>
    </w:div>
    <w:div w:id="568658422">
      <w:bodyDiv w:val="1"/>
      <w:marLeft w:val="0"/>
      <w:marRight w:val="0"/>
      <w:marTop w:val="0"/>
      <w:marBottom w:val="0"/>
      <w:divBdr>
        <w:top w:val="none" w:sz="0" w:space="0" w:color="auto"/>
        <w:left w:val="none" w:sz="0" w:space="0" w:color="auto"/>
        <w:bottom w:val="none" w:sz="0" w:space="0" w:color="auto"/>
        <w:right w:val="none" w:sz="0" w:space="0" w:color="auto"/>
      </w:divBdr>
    </w:div>
    <w:div w:id="605115063">
      <w:bodyDiv w:val="1"/>
      <w:marLeft w:val="0"/>
      <w:marRight w:val="0"/>
      <w:marTop w:val="0"/>
      <w:marBottom w:val="0"/>
      <w:divBdr>
        <w:top w:val="none" w:sz="0" w:space="0" w:color="auto"/>
        <w:left w:val="none" w:sz="0" w:space="0" w:color="auto"/>
        <w:bottom w:val="none" w:sz="0" w:space="0" w:color="auto"/>
        <w:right w:val="none" w:sz="0" w:space="0" w:color="auto"/>
      </w:divBdr>
    </w:div>
    <w:div w:id="611208983">
      <w:bodyDiv w:val="1"/>
      <w:marLeft w:val="0"/>
      <w:marRight w:val="0"/>
      <w:marTop w:val="0"/>
      <w:marBottom w:val="0"/>
      <w:divBdr>
        <w:top w:val="none" w:sz="0" w:space="0" w:color="auto"/>
        <w:left w:val="none" w:sz="0" w:space="0" w:color="auto"/>
        <w:bottom w:val="none" w:sz="0" w:space="0" w:color="auto"/>
        <w:right w:val="none" w:sz="0" w:space="0" w:color="auto"/>
      </w:divBdr>
    </w:div>
    <w:div w:id="623511108">
      <w:bodyDiv w:val="1"/>
      <w:marLeft w:val="0"/>
      <w:marRight w:val="0"/>
      <w:marTop w:val="0"/>
      <w:marBottom w:val="0"/>
      <w:divBdr>
        <w:top w:val="none" w:sz="0" w:space="0" w:color="auto"/>
        <w:left w:val="none" w:sz="0" w:space="0" w:color="auto"/>
        <w:bottom w:val="none" w:sz="0" w:space="0" w:color="auto"/>
        <w:right w:val="none" w:sz="0" w:space="0" w:color="auto"/>
      </w:divBdr>
    </w:div>
    <w:div w:id="647789120">
      <w:bodyDiv w:val="1"/>
      <w:marLeft w:val="0"/>
      <w:marRight w:val="0"/>
      <w:marTop w:val="0"/>
      <w:marBottom w:val="0"/>
      <w:divBdr>
        <w:top w:val="none" w:sz="0" w:space="0" w:color="auto"/>
        <w:left w:val="none" w:sz="0" w:space="0" w:color="auto"/>
        <w:bottom w:val="none" w:sz="0" w:space="0" w:color="auto"/>
        <w:right w:val="none" w:sz="0" w:space="0" w:color="auto"/>
      </w:divBdr>
    </w:div>
    <w:div w:id="664943444">
      <w:bodyDiv w:val="1"/>
      <w:marLeft w:val="0"/>
      <w:marRight w:val="0"/>
      <w:marTop w:val="0"/>
      <w:marBottom w:val="0"/>
      <w:divBdr>
        <w:top w:val="none" w:sz="0" w:space="0" w:color="auto"/>
        <w:left w:val="none" w:sz="0" w:space="0" w:color="auto"/>
        <w:bottom w:val="none" w:sz="0" w:space="0" w:color="auto"/>
        <w:right w:val="none" w:sz="0" w:space="0" w:color="auto"/>
      </w:divBdr>
      <w:divsChild>
        <w:div w:id="619335386">
          <w:marLeft w:val="720"/>
          <w:marRight w:val="0"/>
          <w:marTop w:val="0"/>
          <w:marBottom w:val="120"/>
          <w:divBdr>
            <w:top w:val="none" w:sz="0" w:space="0" w:color="auto"/>
            <w:left w:val="none" w:sz="0" w:space="0" w:color="auto"/>
            <w:bottom w:val="none" w:sz="0" w:space="0" w:color="auto"/>
            <w:right w:val="none" w:sz="0" w:space="0" w:color="auto"/>
          </w:divBdr>
        </w:div>
        <w:div w:id="445007376">
          <w:marLeft w:val="720"/>
          <w:marRight w:val="0"/>
          <w:marTop w:val="0"/>
          <w:marBottom w:val="120"/>
          <w:divBdr>
            <w:top w:val="none" w:sz="0" w:space="0" w:color="auto"/>
            <w:left w:val="none" w:sz="0" w:space="0" w:color="auto"/>
            <w:bottom w:val="none" w:sz="0" w:space="0" w:color="auto"/>
            <w:right w:val="none" w:sz="0" w:space="0" w:color="auto"/>
          </w:divBdr>
        </w:div>
        <w:div w:id="397099387">
          <w:marLeft w:val="720"/>
          <w:marRight w:val="0"/>
          <w:marTop w:val="0"/>
          <w:marBottom w:val="120"/>
          <w:divBdr>
            <w:top w:val="none" w:sz="0" w:space="0" w:color="auto"/>
            <w:left w:val="none" w:sz="0" w:space="0" w:color="auto"/>
            <w:bottom w:val="none" w:sz="0" w:space="0" w:color="auto"/>
            <w:right w:val="none" w:sz="0" w:space="0" w:color="auto"/>
          </w:divBdr>
        </w:div>
        <w:div w:id="719130309">
          <w:marLeft w:val="720"/>
          <w:marRight w:val="0"/>
          <w:marTop w:val="0"/>
          <w:marBottom w:val="120"/>
          <w:divBdr>
            <w:top w:val="none" w:sz="0" w:space="0" w:color="auto"/>
            <w:left w:val="none" w:sz="0" w:space="0" w:color="auto"/>
            <w:bottom w:val="none" w:sz="0" w:space="0" w:color="auto"/>
            <w:right w:val="none" w:sz="0" w:space="0" w:color="auto"/>
          </w:divBdr>
        </w:div>
      </w:divsChild>
    </w:div>
    <w:div w:id="720589901">
      <w:bodyDiv w:val="1"/>
      <w:marLeft w:val="0"/>
      <w:marRight w:val="0"/>
      <w:marTop w:val="0"/>
      <w:marBottom w:val="0"/>
      <w:divBdr>
        <w:top w:val="none" w:sz="0" w:space="0" w:color="auto"/>
        <w:left w:val="none" w:sz="0" w:space="0" w:color="auto"/>
        <w:bottom w:val="none" w:sz="0" w:space="0" w:color="auto"/>
        <w:right w:val="none" w:sz="0" w:space="0" w:color="auto"/>
      </w:divBdr>
      <w:divsChild>
        <w:div w:id="1223130999">
          <w:marLeft w:val="0"/>
          <w:marRight w:val="0"/>
          <w:marTop w:val="0"/>
          <w:marBottom w:val="0"/>
          <w:divBdr>
            <w:top w:val="none" w:sz="0" w:space="0" w:color="auto"/>
            <w:left w:val="none" w:sz="0" w:space="0" w:color="auto"/>
            <w:bottom w:val="none" w:sz="0" w:space="0" w:color="auto"/>
            <w:right w:val="none" w:sz="0" w:space="0" w:color="auto"/>
          </w:divBdr>
          <w:divsChild>
            <w:div w:id="1817382328">
              <w:marLeft w:val="0"/>
              <w:marRight w:val="0"/>
              <w:marTop w:val="0"/>
              <w:marBottom w:val="0"/>
              <w:divBdr>
                <w:top w:val="none" w:sz="0" w:space="0" w:color="auto"/>
                <w:left w:val="none" w:sz="0" w:space="0" w:color="auto"/>
                <w:bottom w:val="none" w:sz="0" w:space="0" w:color="auto"/>
                <w:right w:val="none" w:sz="0" w:space="0" w:color="auto"/>
              </w:divBdr>
            </w:div>
          </w:divsChild>
        </w:div>
        <w:div w:id="1261569376">
          <w:marLeft w:val="0"/>
          <w:marRight w:val="0"/>
          <w:marTop w:val="0"/>
          <w:marBottom w:val="0"/>
          <w:divBdr>
            <w:top w:val="none" w:sz="0" w:space="0" w:color="auto"/>
            <w:left w:val="none" w:sz="0" w:space="0" w:color="auto"/>
            <w:bottom w:val="none" w:sz="0" w:space="0" w:color="auto"/>
            <w:right w:val="none" w:sz="0" w:space="0" w:color="auto"/>
          </w:divBdr>
          <w:divsChild>
            <w:div w:id="6020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3696">
      <w:bodyDiv w:val="1"/>
      <w:marLeft w:val="0"/>
      <w:marRight w:val="0"/>
      <w:marTop w:val="0"/>
      <w:marBottom w:val="0"/>
      <w:divBdr>
        <w:top w:val="none" w:sz="0" w:space="0" w:color="auto"/>
        <w:left w:val="none" w:sz="0" w:space="0" w:color="auto"/>
        <w:bottom w:val="none" w:sz="0" w:space="0" w:color="auto"/>
        <w:right w:val="none" w:sz="0" w:space="0" w:color="auto"/>
      </w:divBdr>
    </w:div>
    <w:div w:id="792408087">
      <w:bodyDiv w:val="1"/>
      <w:marLeft w:val="0"/>
      <w:marRight w:val="0"/>
      <w:marTop w:val="0"/>
      <w:marBottom w:val="0"/>
      <w:divBdr>
        <w:top w:val="none" w:sz="0" w:space="0" w:color="auto"/>
        <w:left w:val="none" w:sz="0" w:space="0" w:color="auto"/>
        <w:bottom w:val="none" w:sz="0" w:space="0" w:color="auto"/>
        <w:right w:val="none" w:sz="0" w:space="0" w:color="auto"/>
      </w:divBdr>
      <w:divsChild>
        <w:div w:id="1890189566">
          <w:marLeft w:val="720"/>
          <w:marRight w:val="0"/>
          <w:marTop w:val="0"/>
          <w:marBottom w:val="120"/>
          <w:divBdr>
            <w:top w:val="none" w:sz="0" w:space="0" w:color="auto"/>
            <w:left w:val="none" w:sz="0" w:space="0" w:color="auto"/>
            <w:bottom w:val="none" w:sz="0" w:space="0" w:color="auto"/>
            <w:right w:val="none" w:sz="0" w:space="0" w:color="auto"/>
          </w:divBdr>
        </w:div>
        <w:div w:id="499084999">
          <w:marLeft w:val="720"/>
          <w:marRight w:val="0"/>
          <w:marTop w:val="0"/>
          <w:marBottom w:val="120"/>
          <w:divBdr>
            <w:top w:val="none" w:sz="0" w:space="0" w:color="auto"/>
            <w:left w:val="none" w:sz="0" w:space="0" w:color="auto"/>
            <w:bottom w:val="none" w:sz="0" w:space="0" w:color="auto"/>
            <w:right w:val="none" w:sz="0" w:space="0" w:color="auto"/>
          </w:divBdr>
        </w:div>
        <w:div w:id="1982491084">
          <w:marLeft w:val="720"/>
          <w:marRight w:val="0"/>
          <w:marTop w:val="0"/>
          <w:marBottom w:val="120"/>
          <w:divBdr>
            <w:top w:val="none" w:sz="0" w:space="0" w:color="auto"/>
            <w:left w:val="none" w:sz="0" w:space="0" w:color="auto"/>
            <w:bottom w:val="none" w:sz="0" w:space="0" w:color="auto"/>
            <w:right w:val="none" w:sz="0" w:space="0" w:color="auto"/>
          </w:divBdr>
        </w:div>
        <w:div w:id="1454984359">
          <w:marLeft w:val="720"/>
          <w:marRight w:val="0"/>
          <w:marTop w:val="0"/>
          <w:marBottom w:val="120"/>
          <w:divBdr>
            <w:top w:val="none" w:sz="0" w:space="0" w:color="auto"/>
            <w:left w:val="none" w:sz="0" w:space="0" w:color="auto"/>
            <w:bottom w:val="none" w:sz="0" w:space="0" w:color="auto"/>
            <w:right w:val="none" w:sz="0" w:space="0" w:color="auto"/>
          </w:divBdr>
        </w:div>
      </w:divsChild>
    </w:div>
    <w:div w:id="821048400">
      <w:bodyDiv w:val="1"/>
      <w:marLeft w:val="0"/>
      <w:marRight w:val="0"/>
      <w:marTop w:val="0"/>
      <w:marBottom w:val="0"/>
      <w:divBdr>
        <w:top w:val="none" w:sz="0" w:space="0" w:color="auto"/>
        <w:left w:val="none" w:sz="0" w:space="0" w:color="auto"/>
        <w:bottom w:val="none" w:sz="0" w:space="0" w:color="auto"/>
        <w:right w:val="none" w:sz="0" w:space="0" w:color="auto"/>
      </w:divBdr>
    </w:div>
    <w:div w:id="1029260367">
      <w:bodyDiv w:val="1"/>
      <w:marLeft w:val="0"/>
      <w:marRight w:val="0"/>
      <w:marTop w:val="0"/>
      <w:marBottom w:val="0"/>
      <w:divBdr>
        <w:top w:val="none" w:sz="0" w:space="0" w:color="auto"/>
        <w:left w:val="none" w:sz="0" w:space="0" w:color="auto"/>
        <w:bottom w:val="none" w:sz="0" w:space="0" w:color="auto"/>
        <w:right w:val="none" w:sz="0" w:space="0" w:color="auto"/>
      </w:divBdr>
    </w:div>
    <w:div w:id="1074624507">
      <w:bodyDiv w:val="1"/>
      <w:marLeft w:val="0"/>
      <w:marRight w:val="0"/>
      <w:marTop w:val="0"/>
      <w:marBottom w:val="0"/>
      <w:divBdr>
        <w:top w:val="none" w:sz="0" w:space="0" w:color="auto"/>
        <w:left w:val="none" w:sz="0" w:space="0" w:color="auto"/>
        <w:bottom w:val="none" w:sz="0" w:space="0" w:color="auto"/>
        <w:right w:val="none" w:sz="0" w:space="0" w:color="auto"/>
      </w:divBdr>
    </w:div>
    <w:div w:id="1118528195">
      <w:bodyDiv w:val="1"/>
      <w:marLeft w:val="0"/>
      <w:marRight w:val="0"/>
      <w:marTop w:val="0"/>
      <w:marBottom w:val="0"/>
      <w:divBdr>
        <w:top w:val="none" w:sz="0" w:space="0" w:color="auto"/>
        <w:left w:val="none" w:sz="0" w:space="0" w:color="auto"/>
        <w:bottom w:val="none" w:sz="0" w:space="0" w:color="auto"/>
        <w:right w:val="none" w:sz="0" w:space="0" w:color="auto"/>
      </w:divBdr>
    </w:div>
    <w:div w:id="1120417922">
      <w:bodyDiv w:val="1"/>
      <w:marLeft w:val="0"/>
      <w:marRight w:val="0"/>
      <w:marTop w:val="0"/>
      <w:marBottom w:val="0"/>
      <w:divBdr>
        <w:top w:val="none" w:sz="0" w:space="0" w:color="auto"/>
        <w:left w:val="none" w:sz="0" w:space="0" w:color="auto"/>
        <w:bottom w:val="none" w:sz="0" w:space="0" w:color="auto"/>
        <w:right w:val="none" w:sz="0" w:space="0" w:color="auto"/>
      </w:divBdr>
    </w:div>
    <w:div w:id="1172645922">
      <w:bodyDiv w:val="1"/>
      <w:marLeft w:val="0"/>
      <w:marRight w:val="0"/>
      <w:marTop w:val="0"/>
      <w:marBottom w:val="0"/>
      <w:divBdr>
        <w:top w:val="none" w:sz="0" w:space="0" w:color="auto"/>
        <w:left w:val="none" w:sz="0" w:space="0" w:color="auto"/>
        <w:bottom w:val="none" w:sz="0" w:space="0" w:color="auto"/>
        <w:right w:val="none" w:sz="0" w:space="0" w:color="auto"/>
      </w:divBdr>
    </w:div>
    <w:div w:id="1318411794">
      <w:bodyDiv w:val="1"/>
      <w:marLeft w:val="0"/>
      <w:marRight w:val="0"/>
      <w:marTop w:val="0"/>
      <w:marBottom w:val="0"/>
      <w:divBdr>
        <w:top w:val="none" w:sz="0" w:space="0" w:color="auto"/>
        <w:left w:val="none" w:sz="0" w:space="0" w:color="auto"/>
        <w:bottom w:val="none" w:sz="0" w:space="0" w:color="auto"/>
        <w:right w:val="none" w:sz="0" w:space="0" w:color="auto"/>
      </w:divBdr>
    </w:div>
    <w:div w:id="1408070647">
      <w:bodyDiv w:val="1"/>
      <w:marLeft w:val="0"/>
      <w:marRight w:val="0"/>
      <w:marTop w:val="0"/>
      <w:marBottom w:val="0"/>
      <w:divBdr>
        <w:top w:val="none" w:sz="0" w:space="0" w:color="auto"/>
        <w:left w:val="none" w:sz="0" w:space="0" w:color="auto"/>
        <w:bottom w:val="none" w:sz="0" w:space="0" w:color="auto"/>
        <w:right w:val="none" w:sz="0" w:space="0" w:color="auto"/>
      </w:divBdr>
    </w:div>
    <w:div w:id="1482236579">
      <w:bodyDiv w:val="1"/>
      <w:marLeft w:val="0"/>
      <w:marRight w:val="0"/>
      <w:marTop w:val="0"/>
      <w:marBottom w:val="0"/>
      <w:divBdr>
        <w:top w:val="none" w:sz="0" w:space="0" w:color="auto"/>
        <w:left w:val="none" w:sz="0" w:space="0" w:color="auto"/>
        <w:bottom w:val="none" w:sz="0" w:space="0" w:color="auto"/>
        <w:right w:val="none" w:sz="0" w:space="0" w:color="auto"/>
      </w:divBdr>
    </w:div>
    <w:div w:id="1492991456">
      <w:bodyDiv w:val="1"/>
      <w:marLeft w:val="0"/>
      <w:marRight w:val="0"/>
      <w:marTop w:val="0"/>
      <w:marBottom w:val="0"/>
      <w:divBdr>
        <w:top w:val="none" w:sz="0" w:space="0" w:color="auto"/>
        <w:left w:val="none" w:sz="0" w:space="0" w:color="auto"/>
        <w:bottom w:val="none" w:sz="0" w:space="0" w:color="auto"/>
        <w:right w:val="none" w:sz="0" w:space="0" w:color="auto"/>
      </w:divBdr>
    </w:div>
    <w:div w:id="1700009606">
      <w:bodyDiv w:val="1"/>
      <w:marLeft w:val="0"/>
      <w:marRight w:val="0"/>
      <w:marTop w:val="0"/>
      <w:marBottom w:val="0"/>
      <w:divBdr>
        <w:top w:val="none" w:sz="0" w:space="0" w:color="auto"/>
        <w:left w:val="none" w:sz="0" w:space="0" w:color="auto"/>
        <w:bottom w:val="none" w:sz="0" w:space="0" w:color="auto"/>
        <w:right w:val="none" w:sz="0" w:space="0" w:color="auto"/>
      </w:divBdr>
    </w:div>
    <w:div w:id="1791438954">
      <w:bodyDiv w:val="1"/>
      <w:marLeft w:val="0"/>
      <w:marRight w:val="0"/>
      <w:marTop w:val="0"/>
      <w:marBottom w:val="0"/>
      <w:divBdr>
        <w:top w:val="none" w:sz="0" w:space="0" w:color="auto"/>
        <w:left w:val="none" w:sz="0" w:space="0" w:color="auto"/>
        <w:bottom w:val="none" w:sz="0" w:space="0" w:color="auto"/>
        <w:right w:val="none" w:sz="0" w:space="0" w:color="auto"/>
      </w:divBdr>
    </w:div>
    <w:div w:id="1800954373">
      <w:bodyDiv w:val="1"/>
      <w:marLeft w:val="0"/>
      <w:marRight w:val="0"/>
      <w:marTop w:val="0"/>
      <w:marBottom w:val="0"/>
      <w:divBdr>
        <w:top w:val="none" w:sz="0" w:space="0" w:color="auto"/>
        <w:left w:val="none" w:sz="0" w:space="0" w:color="auto"/>
        <w:bottom w:val="none" w:sz="0" w:space="0" w:color="auto"/>
        <w:right w:val="none" w:sz="0" w:space="0" w:color="auto"/>
      </w:divBdr>
    </w:div>
    <w:div w:id="1814130851">
      <w:bodyDiv w:val="1"/>
      <w:marLeft w:val="0"/>
      <w:marRight w:val="0"/>
      <w:marTop w:val="0"/>
      <w:marBottom w:val="0"/>
      <w:divBdr>
        <w:top w:val="none" w:sz="0" w:space="0" w:color="auto"/>
        <w:left w:val="none" w:sz="0" w:space="0" w:color="auto"/>
        <w:bottom w:val="none" w:sz="0" w:space="0" w:color="auto"/>
        <w:right w:val="none" w:sz="0" w:space="0" w:color="auto"/>
      </w:divBdr>
    </w:div>
    <w:div w:id="1840151980">
      <w:bodyDiv w:val="1"/>
      <w:marLeft w:val="0"/>
      <w:marRight w:val="0"/>
      <w:marTop w:val="0"/>
      <w:marBottom w:val="0"/>
      <w:divBdr>
        <w:top w:val="none" w:sz="0" w:space="0" w:color="auto"/>
        <w:left w:val="none" w:sz="0" w:space="0" w:color="auto"/>
        <w:bottom w:val="none" w:sz="0" w:space="0" w:color="auto"/>
        <w:right w:val="none" w:sz="0" w:space="0" w:color="auto"/>
      </w:divBdr>
    </w:div>
    <w:div w:id="1846434790">
      <w:bodyDiv w:val="1"/>
      <w:marLeft w:val="0"/>
      <w:marRight w:val="0"/>
      <w:marTop w:val="0"/>
      <w:marBottom w:val="0"/>
      <w:divBdr>
        <w:top w:val="none" w:sz="0" w:space="0" w:color="auto"/>
        <w:left w:val="none" w:sz="0" w:space="0" w:color="auto"/>
        <w:bottom w:val="none" w:sz="0" w:space="0" w:color="auto"/>
        <w:right w:val="none" w:sz="0" w:space="0" w:color="auto"/>
      </w:divBdr>
    </w:div>
    <w:div w:id="2007631904">
      <w:bodyDiv w:val="1"/>
      <w:marLeft w:val="0"/>
      <w:marRight w:val="0"/>
      <w:marTop w:val="0"/>
      <w:marBottom w:val="0"/>
      <w:divBdr>
        <w:top w:val="none" w:sz="0" w:space="0" w:color="auto"/>
        <w:left w:val="none" w:sz="0" w:space="0" w:color="auto"/>
        <w:bottom w:val="none" w:sz="0" w:space="0" w:color="auto"/>
        <w:right w:val="none" w:sz="0" w:space="0" w:color="auto"/>
      </w:divBdr>
    </w:div>
    <w:div w:id="206911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dhsustainabletrade.com/ldn-insigh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unccd.i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dhsustainabletrade.com/" TargetMode="External"/><Relationship Id="rId5" Type="http://schemas.openxmlformats.org/officeDocument/2006/relationships/numbering" Target="numbering.xml"/><Relationship Id="rId15" Type="http://schemas.openxmlformats.org/officeDocument/2006/relationships/hyperlink" Target="mailto:firnanda@idhtrade.org"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chsan@idhtrade.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Shared%20With%20Me\1.%20Core%20Info\3.%20Key%20Documents\Contracting\2.%20Assignments%20(Letter%20of%20Assignment)\0.%20Tender%20(Terms%20of%20Reference)\Terms%20of%20Reference%20+%20Annexes\Terms%20of%20Reference%20template.dotx" TargetMode="External"/></Relationships>
</file>

<file path=word/theme/theme1.xml><?xml version="1.0" encoding="utf-8"?>
<a:theme xmlns:a="http://schemas.openxmlformats.org/drawingml/2006/main" name="Office Theme">
  <a:themeElements>
    <a:clrScheme name="IDH 2022">
      <a:dk1>
        <a:srgbClr val="00615F"/>
      </a:dk1>
      <a:lt1>
        <a:srgbClr val="FFFFFF"/>
      </a:lt1>
      <a:dk2>
        <a:srgbClr val="00615F"/>
      </a:dk2>
      <a:lt2>
        <a:srgbClr val="FFFFFF"/>
      </a:lt2>
      <a:accent1>
        <a:srgbClr val="00615F"/>
      </a:accent1>
      <a:accent2>
        <a:srgbClr val="47D985"/>
      </a:accent2>
      <a:accent3>
        <a:srgbClr val="FF5D00"/>
      </a:accent3>
      <a:accent4>
        <a:srgbClr val="FFC505"/>
      </a:accent4>
      <a:accent5>
        <a:srgbClr val="0098FF"/>
      </a:accent5>
      <a:accent6>
        <a:srgbClr val="78321E"/>
      </a:accent6>
      <a:hlink>
        <a:srgbClr val="47D985"/>
      </a:hlink>
      <a:folHlink>
        <a:srgbClr val="50F79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F0FDB1B-109A-7643-B428-5020D56863C0}">
  <we:reference id="wa200000729" version="3.19.222.0" store="en-US" storeType="OMEX"/>
  <we:alternateReferences>
    <we:reference id="WA200000729" version="3.19.222.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83fb05-25c4-4fe8-9c7d-8cc98df650b4" xsi:nil="true"/>
    <lcf76f155ced4ddcb4097134ff3c332f xmlns="1ecfd369-8a0b-45f3-a0d7-443139a24cb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C25C0A04C8EAF4DBC59AB00FF7CC056" ma:contentTypeVersion="12" ma:contentTypeDescription="Create a new document." ma:contentTypeScope="" ma:versionID="9a9b628d7a94bdbae923779905c73f31">
  <xsd:schema xmlns:xsd="http://www.w3.org/2001/XMLSchema" xmlns:xs="http://www.w3.org/2001/XMLSchema" xmlns:p="http://schemas.microsoft.com/office/2006/metadata/properties" xmlns:ns2="1ecfd369-8a0b-45f3-a0d7-443139a24cb6" xmlns:ns3="a2778a0f-e08c-4e1e-9f80-32615ca14330" xmlns:ns4="fa83fb05-25c4-4fe8-9c7d-8cc98df650b4" targetNamespace="http://schemas.microsoft.com/office/2006/metadata/properties" ma:root="true" ma:fieldsID="4852b225df8364920b6561a8f26f809d" ns2:_="" ns3:_="" ns4:_="">
    <xsd:import namespace="1ecfd369-8a0b-45f3-a0d7-443139a24cb6"/>
    <xsd:import namespace="a2778a0f-e08c-4e1e-9f80-32615ca14330"/>
    <xsd:import namespace="fa83fb05-25c4-4fe8-9c7d-8cc98df650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fd369-8a0b-45f3-a0d7-443139a24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3e38c7f-ba22-40b3-8743-e019f93da4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778a0f-e08c-4e1e-9f80-32615ca143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83fb05-25c4-4fe8-9c7d-8cc98df650b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3200df5-4876-4756-bc47-83bbad36186c}" ma:internalName="TaxCatchAll" ma:showField="CatchAllData" ma:web="a2778a0f-e08c-4e1e-9f80-32615ca143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D262FC-6768-4A40-898E-89F3B6B12D32}">
  <ds:schemaRefs>
    <ds:schemaRef ds:uri="http://schemas.microsoft.com/office/2006/metadata/properties"/>
    <ds:schemaRef ds:uri="http://schemas.microsoft.com/office/infopath/2007/PartnerControls"/>
    <ds:schemaRef ds:uri="fa83fb05-25c4-4fe8-9c7d-8cc98df650b4"/>
    <ds:schemaRef ds:uri="1ecfd369-8a0b-45f3-a0d7-443139a24cb6"/>
  </ds:schemaRefs>
</ds:datastoreItem>
</file>

<file path=customXml/itemProps2.xml><?xml version="1.0" encoding="utf-8"?>
<ds:datastoreItem xmlns:ds="http://schemas.openxmlformats.org/officeDocument/2006/customXml" ds:itemID="{0B02E04E-83D6-0740-99F5-80D8C0B0652D}">
  <ds:schemaRefs>
    <ds:schemaRef ds:uri="http://schemas.openxmlformats.org/officeDocument/2006/bibliography"/>
  </ds:schemaRefs>
</ds:datastoreItem>
</file>

<file path=customXml/itemProps3.xml><?xml version="1.0" encoding="utf-8"?>
<ds:datastoreItem xmlns:ds="http://schemas.openxmlformats.org/officeDocument/2006/customXml" ds:itemID="{7D2413D1-A68F-4989-B3AC-C1679F28E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fd369-8a0b-45f3-a0d7-443139a24cb6"/>
    <ds:schemaRef ds:uri="a2778a0f-e08c-4e1e-9f80-32615ca14330"/>
    <ds:schemaRef ds:uri="fa83fb05-25c4-4fe8-9c7d-8cc98df65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C12B99-B6CB-449D-95B3-6A20431397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Terms of Reference template</Template>
  <TotalTime>3</TotalTime>
  <Pages>9</Pages>
  <Words>2589</Words>
  <Characters>14758</Characters>
  <Application>Microsoft Office Word</Application>
  <DocSecurity>0</DocSecurity>
  <Lines>122</Lines>
  <Paragraphs>34</Paragraphs>
  <ScaleCrop>false</ScaleCrop>
  <Company/>
  <LinksUpToDate>false</LinksUpToDate>
  <CharactersWithSpaces>17313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Nova Firnanda</dc:creator>
  <cp:keywords/>
  <dc:description/>
  <cp:lastModifiedBy>Natacha Moukannas</cp:lastModifiedBy>
  <cp:revision>2</cp:revision>
  <cp:lastPrinted>2022-09-02T01:44:00Z</cp:lastPrinted>
  <dcterms:created xsi:type="dcterms:W3CDTF">2023-11-22T15:57:00Z</dcterms:created>
  <dcterms:modified xsi:type="dcterms:W3CDTF">2023-11-22T15:57:00Z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0x010100AC25C0A04C8EAF4DBC59AB00FF7CC056</vt:lpwstr>
  </property>
  <property fmtid="{D5CDD505-2E9C-101B-9397-08002B2CF9AE}" pid="3" name="MediaServiceImageTags">
    <vt:lpwstr/>
  </property>
</Properties>
</file>