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07F5E" w14:textId="77777777" w:rsidR="008F448C" w:rsidRPr="00C50252" w:rsidRDefault="008F448C" w:rsidP="007663EF">
      <w:pPr>
        <w:rPr>
          <w:lang w:val="en-US"/>
        </w:rPr>
      </w:pPr>
      <w:r w:rsidRPr="00C50252">
        <w:rPr>
          <w:noProof/>
          <w:lang w:val="en-US"/>
        </w:rPr>
        <mc:AlternateContent>
          <mc:Choice Requires="wps">
            <w:drawing>
              <wp:anchor distT="0" distB="0" distL="114300" distR="114300" simplePos="0" relativeHeight="251664384" behindDoc="0" locked="0" layoutInCell="1" allowOverlap="1" wp14:anchorId="626564B7" wp14:editId="46F4F9CA">
                <wp:simplePos x="0" y="0"/>
                <wp:positionH relativeFrom="column">
                  <wp:posOffset>930910</wp:posOffset>
                </wp:positionH>
                <wp:positionV relativeFrom="paragraph">
                  <wp:posOffset>-366857</wp:posOffset>
                </wp:positionV>
                <wp:extent cx="4368800" cy="397933"/>
                <wp:effectExtent l="0" t="0" r="0" b="0"/>
                <wp:wrapNone/>
                <wp:docPr id="2" name="Rectángulo redondeado 2"/>
                <wp:cNvGraphicFramePr/>
                <a:graphic xmlns:a="http://schemas.openxmlformats.org/drawingml/2006/main">
                  <a:graphicData uri="http://schemas.microsoft.com/office/word/2010/wordprocessingShape">
                    <wps:wsp>
                      <wps:cNvSpPr/>
                      <wps:spPr>
                        <a:xfrm>
                          <a:off x="0" y="0"/>
                          <a:ext cx="4368800" cy="397933"/>
                        </a:xfrm>
                        <a:prstGeom prst="roundRect">
                          <a:avLst/>
                        </a:prstGeom>
                        <a:solidFill>
                          <a:srgbClr val="FF5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266BAD" w14:textId="27EE81A8" w:rsidR="008F448C" w:rsidRPr="007663EF" w:rsidRDefault="00E1528D" w:rsidP="008F448C">
                            <w:pPr>
                              <w:pStyle w:val="Heading2"/>
                              <w:rPr>
                                <w:sz w:val="32"/>
                                <w:lang w:val="en-GB"/>
                              </w:rPr>
                            </w:pPr>
                            <w:r>
                              <w:rPr>
                                <w:sz w:val="32"/>
                                <w:lang w:val="en-GB"/>
                              </w:rPr>
                              <w:t>Living Wage for U</w:t>
                            </w:r>
                            <w:r w:rsidR="009C4FF3">
                              <w:rPr>
                                <w:sz w:val="32"/>
                                <w:lang w:val="en-GB"/>
                              </w:rPr>
                              <w:t>s</w:t>
                            </w:r>
                            <w:r>
                              <w:rPr>
                                <w:sz w:val="32"/>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6564B7" id="Rectángulo redondeado 2" o:spid="_x0000_s1026" style="position:absolute;margin-left:73.3pt;margin-top:-28.9pt;width:344pt;height:3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" fillcolor="#ff5d00" stroked="f" strokeweight="1pt">
                <v:stroke joinstyle="miter"/>
                <v:textbox>
                  <w:txbxContent>
                    <w:p w14:paraId="6F266BAD" w14:textId="27EE81A8" w:rsidR="008F448C" w:rsidRPr="007663EF" w:rsidRDefault="00E1528D" w:rsidP="008F448C">
                      <w:pPr>
                        <w:pStyle w:val="Ttulo2"/>
                        <w:rPr>
                          <w:sz w:val="32"/>
                          <w:lang w:val="en-GB"/>
                        </w:rPr>
                      </w:pPr>
                      <w:r>
                        <w:rPr>
                          <w:sz w:val="32"/>
                          <w:lang w:val="en-GB"/>
                        </w:rPr>
                        <w:t>Living Wage for U</w:t>
                      </w:r>
                      <w:r w:rsidR="009C4FF3">
                        <w:rPr>
                          <w:sz w:val="32"/>
                          <w:lang w:val="en-GB"/>
                        </w:rPr>
                        <w:t>s</w:t>
                      </w:r>
                      <w:r>
                        <w:rPr>
                          <w:sz w:val="32"/>
                          <w:lang w:val="en-GB"/>
                        </w:rPr>
                        <w:t xml:space="preserve"> </w:t>
                      </w:r>
                    </w:p>
                  </w:txbxContent>
                </v:textbox>
              </v:roundrect>
            </w:pict>
          </mc:Fallback>
        </mc:AlternateContent>
      </w:r>
    </w:p>
    <w:p w14:paraId="37A3086C" w14:textId="77777777" w:rsidR="00710B56" w:rsidRPr="00C50252" w:rsidRDefault="00710B56" w:rsidP="007663EF">
      <w:pPr>
        <w:rPr>
          <w:lang w:val="en-US"/>
        </w:rPr>
      </w:pPr>
    </w:p>
    <w:p w14:paraId="0486F7D2" w14:textId="60FDA318" w:rsidR="00FC5906" w:rsidRPr="00C50252" w:rsidRDefault="00FC5906" w:rsidP="00FC5906">
      <w:pPr>
        <w:pStyle w:val="Heading3"/>
        <w:spacing w:before="120" w:after="120"/>
        <w:rPr>
          <w:lang w:val="en-US"/>
        </w:rPr>
      </w:pPr>
      <w:r w:rsidRPr="00C50252">
        <w:rPr>
          <w:lang w:val="en-US"/>
        </w:rPr>
        <w:t>What is the Living Wage for U</w:t>
      </w:r>
      <w:r w:rsidR="009C4FF3">
        <w:rPr>
          <w:lang w:val="en-US"/>
        </w:rPr>
        <w:t>s</w:t>
      </w:r>
      <w:r w:rsidRPr="00C50252">
        <w:rPr>
          <w:lang w:val="en-US"/>
        </w:rPr>
        <w:t>?</w:t>
      </w:r>
    </w:p>
    <w:p w14:paraId="48DDEBEF" w14:textId="02D87B9E" w:rsidR="00456641" w:rsidRPr="00C50252" w:rsidRDefault="00497E50" w:rsidP="00456641">
      <w:pPr>
        <w:spacing w:after="120"/>
        <w:jc w:val="both"/>
        <w:rPr>
          <w:noProof/>
          <w:lang w:val="en-US"/>
        </w:rPr>
      </w:pPr>
      <w:r w:rsidRPr="00C50252">
        <w:rPr>
          <w:noProof/>
          <w:lang w:val="en-US"/>
        </w:rPr>
        <w:drawing>
          <wp:anchor distT="0" distB="0" distL="114300" distR="114300" simplePos="0" relativeHeight="251673600" behindDoc="0" locked="0" layoutInCell="1" allowOverlap="1" wp14:anchorId="2B5A4FCA" wp14:editId="2F9023AA">
            <wp:simplePos x="0" y="0"/>
            <wp:positionH relativeFrom="column">
              <wp:posOffset>5302250</wp:posOffset>
            </wp:positionH>
            <wp:positionV relativeFrom="paragraph">
              <wp:posOffset>669925</wp:posOffset>
            </wp:positionV>
            <wp:extent cx="1263987" cy="74644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W4US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3987" cy="746449"/>
                    </a:xfrm>
                    <a:prstGeom prst="rect">
                      <a:avLst/>
                    </a:prstGeom>
                  </pic:spPr>
                </pic:pic>
              </a:graphicData>
            </a:graphic>
            <wp14:sizeRelH relativeFrom="page">
              <wp14:pctWidth>0</wp14:pctWidth>
            </wp14:sizeRelH>
            <wp14:sizeRelV relativeFrom="page">
              <wp14:pctHeight>0</wp14:pctHeight>
            </wp14:sizeRelV>
          </wp:anchor>
        </w:drawing>
      </w:r>
      <w:r w:rsidR="00FC5906" w:rsidRPr="00C50252">
        <w:rPr>
          <w:noProof/>
          <w:lang w:val="en-US"/>
        </w:rPr>
        <w:t>Living Wage For U</w:t>
      </w:r>
      <w:r w:rsidR="009C4FF3">
        <w:rPr>
          <w:noProof/>
          <w:lang w:val="en-US"/>
        </w:rPr>
        <w:t>s</w:t>
      </w:r>
      <w:r w:rsidR="00FC5906" w:rsidRPr="00C50252">
        <w:rPr>
          <w:noProof/>
          <w:lang w:val="en-US"/>
        </w:rPr>
        <w:t xml:space="preserve"> is an initiative that </w:t>
      </w:r>
      <w:r w:rsidR="009C4FF3">
        <w:rPr>
          <w:noProof/>
          <w:lang w:val="en-US"/>
        </w:rPr>
        <w:t xml:space="preserve">launched in 2021 after being incubated by </w:t>
      </w:r>
      <w:r w:rsidR="00FC5906" w:rsidRPr="00C50252">
        <w:rPr>
          <w:noProof/>
          <w:lang w:val="en-US"/>
        </w:rPr>
        <w:t xml:space="preserve">Oxfam America. It now runs independently as a </w:t>
      </w:r>
      <w:r w:rsidR="009C4FF3">
        <w:rPr>
          <w:noProof/>
          <w:lang w:val="en-US"/>
        </w:rPr>
        <w:t xml:space="preserve">research and advocacy nonprofit 501(c)3 organization and </w:t>
      </w:r>
      <w:r w:rsidR="00FC5906" w:rsidRPr="00C50252">
        <w:rPr>
          <w:noProof/>
          <w:lang w:val="en-US"/>
        </w:rPr>
        <w:t xml:space="preserve">voluntary sustainability certification </w:t>
      </w:r>
      <w:r w:rsidR="009C4FF3">
        <w:rPr>
          <w:noProof/>
          <w:lang w:val="en-US"/>
        </w:rPr>
        <w:t xml:space="preserve">system </w:t>
      </w:r>
      <w:r w:rsidR="00FC5906" w:rsidRPr="00C50252">
        <w:rPr>
          <w:noProof/>
          <w:lang w:val="en-US"/>
        </w:rPr>
        <w:t>that certifies U.S. employers pay</w:t>
      </w:r>
      <w:r w:rsidR="009C4FF3">
        <w:rPr>
          <w:noProof/>
          <w:lang w:val="en-US"/>
        </w:rPr>
        <w:t>ing</w:t>
      </w:r>
      <w:r w:rsidR="00FC5906" w:rsidRPr="00C50252">
        <w:rPr>
          <w:noProof/>
          <w:lang w:val="en-US"/>
        </w:rPr>
        <w:t xml:space="preserve"> their workers and contractors a living wage. As reference for their certification, they created regional benchmarks across the U.S. grouped by county commuting zones. Their methodology for setting living wage is based on high-level detailed data collection and investigation on the U</w:t>
      </w:r>
      <w:r w:rsidR="009C4FF3">
        <w:rPr>
          <w:noProof/>
          <w:lang w:val="en-US"/>
        </w:rPr>
        <w:t>.</w:t>
      </w:r>
      <w:r w:rsidR="00FC5906" w:rsidRPr="00C50252">
        <w:rPr>
          <w:noProof/>
          <w:lang w:val="en-US"/>
        </w:rPr>
        <w:t>S</w:t>
      </w:r>
      <w:r w:rsidR="009C4FF3">
        <w:rPr>
          <w:noProof/>
          <w:lang w:val="en-US"/>
        </w:rPr>
        <w:t>.</w:t>
      </w:r>
      <w:r w:rsidR="00FC5906" w:rsidRPr="00C50252">
        <w:rPr>
          <w:noProof/>
          <w:lang w:val="en-US"/>
        </w:rPr>
        <w:t xml:space="preserve"> reality and socio-economic diversity. </w:t>
      </w:r>
    </w:p>
    <w:p w14:paraId="04B115F5" w14:textId="4367C646" w:rsidR="00710B56" w:rsidRPr="00C50252" w:rsidRDefault="00710B56" w:rsidP="007663EF">
      <w:pPr>
        <w:spacing w:after="120"/>
        <w:rPr>
          <w:b/>
          <w:lang w:val="en-US"/>
        </w:rPr>
      </w:pPr>
      <w:r w:rsidRPr="00C50252">
        <w:rPr>
          <w:b/>
          <w:lang w:val="en-US"/>
        </w:rPr>
        <w:t>Number of estimates</w:t>
      </w:r>
      <w:r w:rsidR="0075605A" w:rsidRPr="00C50252">
        <w:rPr>
          <w:rStyle w:val="FootnoteReference"/>
          <w:b/>
          <w:lang w:val="en-US"/>
        </w:rPr>
        <w:footnoteReference w:id="1"/>
      </w:r>
      <w:r w:rsidRPr="00C50252">
        <w:rPr>
          <w:b/>
          <w:lang w:val="en-US"/>
        </w:rPr>
        <w:t>:</w:t>
      </w:r>
      <w:r w:rsidRPr="00C50252">
        <w:rPr>
          <w:b/>
          <w:lang w:val="en-US"/>
        </w:rPr>
        <w:tab/>
      </w:r>
      <w:r w:rsidR="009C4FF3">
        <w:rPr>
          <w:b/>
          <w:lang w:val="en-US"/>
        </w:rPr>
        <w:t>3,143 county equivalent level estimates grouped into 626 commuting zones</w:t>
      </w:r>
    </w:p>
    <w:p w14:paraId="18A3FB39" w14:textId="77777777" w:rsidR="00710B56" w:rsidRPr="00C50252" w:rsidRDefault="00710B56" w:rsidP="007663EF">
      <w:pPr>
        <w:spacing w:after="120"/>
        <w:rPr>
          <w:lang w:val="en-US"/>
        </w:rPr>
      </w:pPr>
      <w:r w:rsidRPr="00C50252">
        <w:rPr>
          <w:b/>
          <w:lang w:val="en-US"/>
        </w:rPr>
        <w:t xml:space="preserve">Availability of estimates: </w:t>
      </w:r>
      <w:r w:rsidRPr="00C50252">
        <w:rPr>
          <w:b/>
          <w:lang w:val="en-US"/>
        </w:rPr>
        <w:tab/>
      </w:r>
      <w:r w:rsidR="00C462A7" w:rsidRPr="00C50252">
        <w:rPr>
          <w:lang w:val="en-US"/>
        </w:rPr>
        <w:t>Publicly available for free</w:t>
      </w:r>
      <w:r w:rsidR="00C462A7" w:rsidRPr="00C50252">
        <w:rPr>
          <w:b/>
          <w:lang w:val="en-US"/>
        </w:rPr>
        <w:t xml:space="preserve"> </w:t>
      </w:r>
    </w:p>
    <w:p w14:paraId="65E97B6B" w14:textId="77777777" w:rsidR="00BF340B" w:rsidRPr="00C50252" w:rsidRDefault="00496124" w:rsidP="00BF340B">
      <w:pPr>
        <w:spacing w:after="120"/>
        <w:rPr>
          <w:b/>
          <w:lang w:val="en-US"/>
        </w:rPr>
      </w:pPr>
      <w:r w:rsidRPr="00C50252">
        <w:rPr>
          <w:b/>
          <w:noProof/>
          <w:lang w:val="en-US"/>
        </w:rPr>
        <mc:AlternateContent>
          <mc:Choice Requires="wps">
            <w:drawing>
              <wp:anchor distT="0" distB="0" distL="114300" distR="114300" simplePos="0" relativeHeight="251670528" behindDoc="0" locked="0" layoutInCell="1" allowOverlap="1" wp14:anchorId="0721AB8E" wp14:editId="31BF2501">
                <wp:simplePos x="0" y="0"/>
                <wp:positionH relativeFrom="column">
                  <wp:posOffset>4332605</wp:posOffset>
                </wp:positionH>
                <wp:positionV relativeFrom="paragraph">
                  <wp:posOffset>154940</wp:posOffset>
                </wp:positionV>
                <wp:extent cx="1600200" cy="353060"/>
                <wp:effectExtent l="0" t="0" r="0" b="2540"/>
                <wp:wrapNone/>
                <wp:docPr id="35" name="Rectángulo redondeado 35">
                  <a:hlinkClick xmlns:a="http://schemas.openxmlformats.org/drawingml/2006/main" r:id="rId7"/>
                </wp:docPr>
                <wp:cNvGraphicFramePr/>
                <a:graphic xmlns:a="http://schemas.openxmlformats.org/drawingml/2006/main">
                  <a:graphicData uri="http://schemas.microsoft.com/office/word/2010/wordprocessingShape">
                    <wps:wsp>
                      <wps:cNvSpPr/>
                      <wps:spPr>
                        <a:xfrm>
                          <a:off x="0" y="0"/>
                          <a:ext cx="1600200" cy="353060"/>
                        </a:xfrm>
                        <a:prstGeom prst="roundRect">
                          <a:avLst/>
                        </a:prstGeom>
                        <a:solidFill>
                          <a:srgbClr val="46D98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C6C049" w14:textId="77777777" w:rsidR="00EC430E" w:rsidRPr="00BF340B" w:rsidRDefault="00EC430E" w:rsidP="00EC430E">
                            <w:pPr>
                              <w:jc w:val="center"/>
                              <w:rPr>
                                <w:lang w:val="en-GB"/>
                              </w:rPr>
                            </w:pPr>
                            <w:r>
                              <w:rPr>
                                <w:lang w:val="en-GB"/>
                              </w:rPr>
                              <w:t>Contact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52AD17" id="Rectángulo redondeado 35" o:spid="_x0000_s1027" href="https://livingwageforus.org/contact-us/" style="position:absolute;margin-left:341.15pt;margin-top:12.2pt;width:126pt;height:2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" o:button="t" fillcolor="#46d985" stroked="f" strokeweight="1pt">
                <v:fill o:detectmouseclick="t"/>
                <v:stroke joinstyle="miter"/>
                <v:textbox>
                  <w:txbxContent>
                    <w:p w:rsidR="00EC430E" w:rsidRPr="00BF340B" w:rsidRDefault="00EC430E" w:rsidP="00EC430E">
                      <w:pPr>
                        <w:jc w:val="center"/>
                        <w:rPr>
                          <w:lang w:val="en-GB"/>
                        </w:rPr>
                      </w:pPr>
                      <w:r>
                        <w:rPr>
                          <w:lang w:val="en-GB"/>
                        </w:rPr>
                        <w:t>Contact</w:t>
                      </w:r>
                    </w:p>
                  </w:txbxContent>
                </v:textbox>
              </v:roundrect>
            </w:pict>
          </mc:Fallback>
        </mc:AlternateContent>
      </w:r>
      <w:r w:rsidRPr="00C50252">
        <w:rPr>
          <w:b/>
          <w:noProof/>
          <w:lang w:val="en-US"/>
        </w:rPr>
        <mc:AlternateContent>
          <mc:Choice Requires="wps">
            <w:drawing>
              <wp:anchor distT="0" distB="0" distL="114300" distR="114300" simplePos="0" relativeHeight="251668480" behindDoc="0" locked="0" layoutInCell="1" allowOverlap="1" wp14:anchorId="0CFB569B" wp14:editId="68788506">
                <wp:simplePos x="0" y="0"/>
                <wp:positionH relativeFrom="column">
                  <wp:posOffset>2310130</wp:posOffset>
                </wp:positionH>
                <wp:positionV relativeFrom="paragraph">
                  <wp:posOffset>147320</wp:posOffset>
                </wp:positionV>
                <wp:extent cx="1794510" cy="353060"/>
                <wp:effectExtent l="0" t="0" r="0" b="2540"/>
                <wp:wrapNone/>
                <wp:docPr id="34" name="Rectángulo redondeado 34">
                  <a:hlinkClick xmlns:a="http://schemas.openxmlformats.org/drawingml/2006/main" r:id="rId8"/>
                </wp:docPr>
                <wp:cNvGraphicFramePr/>
                <a:graphic xmlns:a="http://schemas.openxmlformats.org/drawingml/2006/main">
                  <a:graphicData uri="http://schemas.microsoft.com/office/word/2010/wordprocessingShape">
                    <wps:wsp>
                      <wps:cNvSpPr/>
                      <wps:spPr>
                        <a:xfrm>
                          <a:off x="0" y="0"/>
                          <a:ext cx="1794510" cy="353060"/>
                        </a:xfrm>
                        <a:prstGeom prst="roundRect">
                          <a:avLst/>
                        </a:prstGeom>
                        <a:solidFill>
                          <a:srgbClr val="46D98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34B7DE" w14:textId="77777777" w:rsidR="00EC430E" w:rsidRPr="00BF340B" w:rsidRDefault="00EC430E" w:rsidP="00EC430E">
                            <w:pPr>
                              <w:jc w:val="center"/>
                              <w:rPr>
                                <w:lang w:val="en-GB"/>
                              </w:rPr>
                            </w:pPr>
                            <w:r w:rsidRPr="00BF340B">
                              <w:rPr>
                                <w:lang w:val="en-GB"/>
                              </w:rPr>
                              <w:t>Acce</w:t>
                            </w:r>
                            <w:r>
                              <w:rPr>
                                <w:lang w:val="en-GB"/>
                              </w:rPr>
                              <w:t>s</w:t>
                            </w:r>
                            <w:r w:rsidRPr="00BF340B">
                              <w:rPr>
                                <w:lang w:val="en-GB"/>
                              </w:rPr>
                              <w:t xml:space="preserve">s to the </w:t>
                            </w:r>
                            <w:r>
                              <w:rPr>
                                <w:lang w:val="en-GB"/>
                              </w:rPr>
                              <w:t>methodology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FB569B" id="Rectángulo redondeado 34" o:spid="_x0000_s1028" href="https://livingwageforus.org/wp-content/uploads/2021/06/2025-LW4US-Total-Remuneration-Assessment-Methodology.pdf" style="position:absolute;margin-left:181.9pt;margin-top:11.6pt;width:141.3pt;height:2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" o:button="t" fillcolor="#46d985" stroked="f" strokeweight="1pt">
                <v:fill o:detectmouseclick="t"/>
                <v:stroke joinstyle="miter"/>
                <v:textbox>
                  <w:txbxContent>
                    <w:p w14:paraId="1B34B7DE" w14:textId="77777777" w:rsidR="00EC430E" w:rsidRPr="00BF340B" w:rsidRDefault="00EC430E" w:rsidP="00EC430E">
                      <w:pPr>
                        <w:jc w:val="center"/>
                        <w:rPr>
                          <w:lang w:val="en-GB"/>
                        </w:rPr>
                      </w:pPr>
                      <w:r w:rsidRPr="00BF340B">
                        <w:rPr>
                          <w:lang w:val="en-GB"/>
                        </w:rPr>
                        <w:t>Acce</w:t>
                      </w:r>
                      <w:r>
                        <w:rPr>
                          <w:lang w:val="en-GB"/>
                        </w:rPr>
                        <w:t>s</w:t>
                      </w:r>
                      <w:r w:rsidRPr="00BF340B">
                        <w:rPr>
                          <w:lang w:val="en-GB"/>
                        </w:rPr>
                        <w:t xml:space="preserve">s to the </w:t>
                      </w:r>
                      <w:r>
                        <w:rPr>
                          <w:lang w:val="en-GB"/>
                        </w:rPr>
                        <w:t>methodology</w:t>
                      </w:r>
                    </w:p>
                  </w:txbxContent>
                </v:textbox>
              </v:roundrect>
            </w:pict>
          </mc:Fallback>
        </mc:AlternateContent>
      </w:r>
      <w:r w:rsidRPr="00C50252">
        <w:rPr>
          <w:b/>
          <w:noProof/>
          <w:lang w:val="en-US"/>
        </w:rPr>
        <mc:AlternateContent>
          <mc:Choice Requires="wps">
            <w:drawing>
              <wp:anchor distT="0" distB="0" distL="114300" distR="114300" simplePos="0" relativeHeight="251672576" behindDoc="0" locked="0" layoutInCell="1" allowOverlap="1" wp14:anchorId="37FAFB84" wp14:editId="53AB9B18">
                <wp:simplePos x="0" y="0"/>
                <wp:positionH relativeFrom="column">
                  <wp:posOffset>424180</wp:posOffset>
                </wp:positionH>
                <wp:positionV relativeFrom="paragraph">
                  <wp:posOffset>137601</wp:posOffset>
                </wp:positionV>
                <wp:extent cx="1600200" cy="353060"/>
                <wp:effectExtent l="0" t="0" r="0" b="2540"/>
                <wp:wrapNone/>
                <wp:docPr id="29" name="Rectángulo redondeado 29">
                  <a:hlinkClick xmlns:a="http://schemas.openxmlformats.org/drawingml/2006/main" r:id="rId9"/>
                </wp:docPr>
                <wp:cNvGraphicFramePr/>
                <a:graphic xmlns:a="http://schemas.openxmlformats.org/drawingml/2006/main">
                  <a:graphicData uri="http://schemas.microsoft.com/office/word/2010/wordprocessingShape">
                    <wps:wsp>
                      <wps:cNvSpPr/>
                      <wps:spPr>
                        <a:xfrm>
                          <a:off x="0" y="0"/>
                          <a:ext cx="1600200" cy="353060"/>
                        </a:xfrm>
                        <a:prstGeom prst="roundRect">
                          <a:avLst/>
                        </a:prstGeom>
                        <a:solidFill>
                          <a:srgbClr val="46D98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60D54C" w14:textId="77777777" w:rsidR="00496124" w:rsidRPr="00BF340B" w:rsidRDefault="00496124" w:rsidP="00496124">
                            <w:pPr>
                              <w:jc w:val="center"/>
                              <w:rPr>
                                <w:lang w:val="en-GB"/>
                              </w:rPr>
                            </w:pPr>
                            <w:r w:rsidRPr="00BF340B">
                              <w:rPr>
                                <w:lang w:val="en-GB"/>
                              </w:rPr>
                              <w:t>Acce</w:t>
                            </w:r>
                            <w:r>
                              <w:rPr>
                                <w:lang w:val="en-GB"/>
                              </w:rPr>
                              <w:t>s</w:t>
                            </w:r>
                            <w:r w:rsidRPr="00BF340B">
                              <w:rPr>
                                <w:lang w:val="en-GB"/>
                              </w:rPr>
                              <w:t>s to the estimates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FAFB84" id="Rectángulo redondeado 29" o:spid="_x0000_s1029" href="https://livingwageforus.org/get-certified/" style="position:absolute;margin-left:33.4pt;margin-top:10.85pt;width:126pt;height:2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" o:button="t" fillcolor="#46d985" stroked="f" strokeweight="1pt">
                <v:fill o:detectmouseclick="t"/>
                <v:stroke joinstyle="miter"/>
                <v:textbox>
                  <w:txbxContent>
                    <w:p w14:paraId="1F60D54C" w14:textId="77777777" w:rsidR="00496124" w:rsidRPr="00BF340B" w:rsidRDefault="00496124" w:rsidP="00496124">
                      <w:pPr>
                        <w:jc w:val="center"/>
                        <w:rPr>
                          <w:lang w:val="en-GB"/>
                        </w:rPr>
                      </w:pPr>
                      <w:r w:rsidRPr="00BF340B">
                        <w:rPr>
                          <w:lang w:val="en-GB"/>
                        </w:rPr>
                        <w:t>Acce</w:t>
                      </w:r>
                      <w:r>
                        <w:rPr>
                          <w:lang w:val="en-GB"/>
                        </w:rPr>
                        <w:t>s</w:t>
                      </w:r>
                      <w:r w:rsidRPr="00BF340B">
                        <w:rPr>
                          <w:lang w:val="en-GB"/>
                        </w:rPr>
                        <w:t>s to the estimates</w:t>
                      </w:r>
                    </w:p>
                  </w:txbxContent>
                </v:textbox>
              </v:roundrect>
            </w:pict>
          </mc:Fallback>
        </mc:AlternateContent>
      </w:r>
    </w:p>
    <w:p w14:paraId="49309D2D" w14:textId="77777777" w:rsidR="00BF340B" w:rsidRPr="00C50252" w:rsidRDefault="00BF340B" w:rsidP="00BF340B">
      <w:pPr>
        <w:spacing w:after="120"/>
        <w:rPr>
          <w:b/>
          <w:lang w:val="en-US"/>
        </w:rPr>
      </w:pPr>
    </w:p>
    <w:p w14:paraId="690A9100" w14:textId="77777777" w:rsidR="00BF340B" w:rsidRPr="00C50252" w:rsidRDefault="00BF340B" w:rsidP="00BF340B">
      <w:pPr>
        <w:spacing w:after="120"/>
        <w:rPr>
          <w:b/>
          <w:lang w:val="en-US"/>
        </w:rPr>
      </w:pPr>
    </w:p>
    <w:p w14:paraId="55699C0B" w14:textId="77777777" w:rsidR="007663EF" w:rsidRPr="00C50252" w:rsidRDefault="007663EF" w:rsidP="00AD462F">
      <w:pPr>
        <w:pStyle w:val="Heading3"/>
        <w:spacing w:before="120"/>
        <w:rPr>
          <w:lang w:val="en-US"/>
        </w:rPr>
      </w:pPr>
      <w:r w:rsidRPr="00C50252">
        <w:rPr>
          <w:lang w:val="en-US"/>
        </w:rPr>
        <w:t>How does the methodology meet the IDH criteria?</w:t>
      </w:r>
    </w:p>
    <w:tbl>
      <w:tblPr>
        <w:tblStyle w:val="TableGrid"/>
        <w:tblW w:w="10485" w:type="dxa"/>
        <w:tblLook w:val="04A0" w:firstRow="1" w:lastRow="0" w:firstColumn="1" w:lastColumn="0" w:noHBand="0" w:noVBand="1"/>
      </w:tblPr>
      <w:tblGrid>
        <w:gridCol w:w="399"/>
        <w:gridCol w:w="4132"/>
        <w:gridCol w:w="5954"/>
      </w:tblGrid>
      <w:tr w:rsidR="007663EF" w:rsidRPr="00C50252" w14:paraId="12E9FAA7" w14:textId="77777777" w:rsidTr="001A2DAE">
        <w:trPr>
          <w:trHeight w:val="300"/>
          <w:tblHeader/>
        </w:trPr>
        <w:tc>
          <w:tcPr>
            <w:tcW w:w="399" w:type="dxa"/>
          </w:tcPr>
          <w:p w14:paraId="4F94332D" w14:textId="77777777" w:rsidR="007663EF" w:rsidRPr="00C50252" w:rsidRDefault="007663EF" w:rsidP="007663EF">
            <w:pPr>
              <w:rPr>
                <w:rFonts w:cs="Arial"/>
                <w:b/>
                <w:szCs w:val="20"/>
                <w:lang w:val="en-US"/>
              </w:rPr>
            </w:pPr>
          </w:p>
        </w:tc>
        <w:tc>
          <w:tcPr>
            <w:tcW w:w="4132" w:type="dxa"/>
          </w:tcPr>
          <w:p w14:paraId="037C35BE" w14:textId="77777777" w:rsidR="007663EF" w:rsidRPr="00C50252" w:rsidRDefault="007663EF" w:rsidP="007663EF">
            <w:pPr>
              <w:rPr>
                <w:rFonts w:cs="Arial"/>
                <w:b/>
                <w:szCs w:val="20"/>
                <w:lang w:val="en-US"/>
              </w:rPr>
            </w:pPr>
            <w:r w:rsidRPr="00C50252">
              <w:rPr>
                <w:rFonts w:cs="Arial"/>
                <w:b/>
                <w:szCs w:val="20"/>
                <w:lang w:val="en-US"/>
              </w:rPr>
              <w:t>Criterion</w:t>
            </w:r>
          </w:p>
        </w:tc>
        <w:tc>
          <w:tcPr>
            <w:tcW w:w="5954" w:type="dxa"/>
          </w:tcPr>
          <w:p w14:paraId="4F267F2F" w14:textId="77777777" w:rsidR="007663EF" w:rsidRPr="00C50252" w:rsidRDefault="007663EF" w:rsidP="007663EF">
            <w:pPr>
              <w:rPr>
                <w:rFonts w:cs="Arial"/>
                <w:b/>
                <w:szCs w:val="20"/>
                <w:lang w:val="en-US"/>
              </w:rPr>
            </w:pPr>
            <w:r w:rsidRPr="00C50252">
              <w:rPr>
                <w:rFonts w:cs="Arial"/>
                <w:b/>
                <w:szCs w:val="20"/>
                <w:lang w:val="en-US"/>
              </w:rPr>
              <w:t xml:space="preserve">Narrative text from </w:t>
            </w:r>
            <w:proofErr w:type="spellStart"/>
            <w:r w:rsidRPr="00C50252">
              <w:rPr>
                <w:rFonts w:cs="Arial"/>
                <w:b/>
                <w:szCs w:val="20"/>
                <w:lang w:val="en-US"/>
              </w:rPr>
              <w:t>organisation</w:t>
            </w:r>
            <w:proofErr w:type="spellEnd"/>
          </w:p>
        </w:tc>
      </w:tr>
      <w:tr w:rsidR="004C69A4" w:rsidRPr="004D47B6" w14:paraId="7A2CDE32" w14:textId="77777777" w:rsidTr="001A2DAE">
        <w:trPr>
          <w:trHeight w:val="300"/>
        </w:trPr>
        <w:tc>
          <w:tcPr>
            <w:tcW w:w="399" w:type="dxa"/>
            <w:hideMark/>
          </w:tcPr>
          <w:p w14:paraId="3541A492" w14:textId="77777777" w:rsidR="004C69A4" w:rsidRPr="00C50252" w:rsidRDefault="004C69A4" w:rsidP="004C69A4">
            <w:pPr>
              <w:rPr>
                <w:rFonts w:cs="Arial"/>
                <w:b/>
                <w:sz w:val="18"/>
                <w:szCs w:val="20"/>
                <w:lang w:val="en-US"/>
              </w:rPr>
            </w:pPr>
            <w:r w:rsidRPr="00C50252">
              <w:rPr>
                <w:rFonts w:cs="Arial"/>
                <w:b/>
                <w:sz w:val="18"/>
                <w:szCs w:val="20"/>
                <w:lang w:val="en-US"/>
              </w:rPr>
              <w:t>1</w:t>
            </w:r>
          </w:p>
        </w:tc>
        <w:tc>
          <w:tcPr>
            <w:tcW w:w="4132" w:type="dxa"/>
            <w:hideMark/>
          </w:tcPr>
          <w:p w14:paraId="32534EF4" w14:textId="77777777" w:rsidR="004C69A4" w:rsidRPr="00C50252" w:rsidRDefault="004C69A4" w:rsidP="004C69A4">
            <w:pPr>
              <w:pStyle w:val="NoSpacing"/>
              <w:rPr>
                <w:lang w:val="en-US"/>
              </w:rPr>
            </w:pPr>
            <w:r w:rsidRPr="00C50252">
              <w:rPr>
                <w:b/>
                <w:lang w:val="en-US"/>
              </w:rPr>
              <w:t>Collecting data:</w:t>
            </w:r>
            <w:r w:rsidRPr="00C50252">
              <w:rPr>
                <w:lang w:val="en-US"/>
              </w:rPr>
              <w:t xml:space="preserve"> the living wage estimation </w:t>
            </w:r>
            <w:proofErr w:type="spellStart"/>
            <w:r w:rsidRPr="00C50252">
              <w:rPr>
                <w:lang w:val="en-US"/>
              </w:rPr>
              <w:t>organisation</w:t>
            </w:r>
            <w:proofErr w:type="spellEnd"/>
            <w:r w:rsidRPr="00C50252">
              <w:rPr>
                <w:lang w:val="en-US"/>
              </w:rPr>
              <w:t xml:space="preserve"> shall estimate the living wage based on data collected through field level research, online surveys (excluding those that are solely based on self-selected respondents), national statistics and/or modelling (modelling not accepted as a sole form).</w:t>
            </w:r>
          </w:p>
          <w:p w14:paraId="4108BF48" w14:textId="77777777" w:rsidR="004C69A4" w:rsidRPr="00C50252" w:rsidRDefault="004C69A4" w:rsidP="004C69A4">
            <w:pPr>
              <w:rPr>
                <w:rFonts w:cs="Arial"/>
                <w:sz w:val="18"/>
                <w:szCs w:val="20"/>
                <w:lang w:val="en-US"/>
              </w:rPr>
            </w:pPr>
          </w:p>
        </w:tc>
        <w:tc>
          <w:tcPr>
            <w:tcW w:w="5954" w:type="dxa"/>
          </w:tcPr>
          <w:p w14:paraId="079F026E" w14:textId="6E648710" w:rsidR="004C69A4" w:rsidRPr="00C50252" w:rsidRDefault="009C4FF3" w:rsidP="004C69A4">
            <w:pPr>
              <w:tabs>
                <w:tab w:val="clear" w:pos="2333"/>
              </w:tabs>
              <w:rPr>
                <w:rFonts w:ascii="Calibri" w:hAnsi="Calibri" w:cs="Calibri"/>
                <w:sz w:val="18"/>
                <w:szCs w:val="20"/>
                <w:lang w:val="en-US"/>
              </w:rPr>
            </w:pPr>
            <w:r>
              <w:rPr>
                <w:rFonts w:ascii="Calibri" w:hAnsi="Calibri" w:cs="Calibri"/>
                <w:sz w:val="18"/>
                <w:szCs w:val="20"/>
                <w:lang w:val="en-US"/>
              </w:rPr>
              <w:t>LW4US</w:t>
            </w:r>
            <w:r w:rsidR="004C69A4" w:rsidRPr="00C50252">
              <w:rPr>
                <w:rFonts w:ascii="Calibri" w:hAnsi="Calibri" w:cs="Calibri"/>
                <w:sz w:val="18"/>
                <w:szCs w:val="20"/>
                <w:lang w:val="en-US"/>
              </w:rPr>
              <w:t xml:space="preserve"> use</w:t>
            </w:r>
            <w:r>
              <w:rPr>
                <w:rFonts w:ascii="Calibri" w:hAnsi="Calibri" w:cs="Calibri"/>
                <w:sz w:val="18"/>
                <w:szCs w:val="20"/>
                <w:lang w:val="en-US"/>
              </w:rPr>
              <w:t>s</w:t>
            </w:r>
            <w:r w:rsidR="004C69A4" w:rsidRPr="00C50252">
              <w:rPr>
                <w:rFonts w:ascii="Calibri" w:hAnsi="Calibri" w:cs="Calibri"/>
                <w:sz w:val="18"/>
                <w:szCs w:val="20"/>
                <w:lang w:val="en-US"/>
              </w:rPr>
              <w:t xml:space="preserve"> data that is collected from national level data sources and w</w:t>
            </w:r>
            <w:r>
              <w:rPr>
                <w:rFonts w:ascii="Calibri" w:hAnsi="Calibri" w:cs="Calibri"/>
                <w:sz w:val="18"/>
                <w:szCs w:val="20"/>
                <w:lang w:val="en-US"/>
              </w:rPr>
              <w:t>ith</w:t>
            </w:r>
            <w:r w:rsidR="004C69A4" w:rsidRPr="00C50252">
              <w:rPr>
                <w:rFonts w:ascii="Calibri" w:hAnsi="Calibri" w:cs="Calibri"/>
                <w:sz w:val="18"/>
                <w:szCs w:val="20"/>
                <w:lang w:val="en-US"/>
              </w:rPr>
              <w:t xml:space="preserve"> extensive surveys for each category of data as described in our public methodology. </w:t>
            </w:r>
            <w:r>
              <w:rPr>
                <w:rFonts w:ascii="Calibri" w:hAnsi="Calibri" w:cs="Calibri"/>
                <w:sz w:val="18"/>
                <w:szCs w:val="20"/>
                <w:lang w:val="en-US"/>
              </w:rPr>
              <w:t xml:space="preserve">These data sources present statistically representative data and sample sizes. </w:t>
            </w:r>
          </w:p>
        </w:tc>
      </w:tr>
      <w:tr w:rsidR="004C69A4" w:rsidRPr="004D47B6" w14:paraId="74ACC1C8" w14:textId="77777777" w:rsidTr="001A2DAE">
        <w:trPr>
          <w:trHeight w:val="300"/>
        </w:trPr>
        <w:tc>
          <w:tcPr>
            <w:tcW w:w="399" w:type="dxa"/>
            <w:hideMark/>
          </w:tcPr>
          <w:p w14:paraId="265512C3" w14:textId="77777777" w:rsidR="004C69A4" w:rsidRPr="00C50252" w:rsidRDefault="004C69A4" w:rsidP="004C69A4">
            <w:pPr>
              <w:rPr>
                <w:rFonts w:cs="Arial"/>
                <w:b/>
                <w:sz w:val="18"/>
                <w:szCs w:val="20"/>
                <w:lang w:val="en-US"/>
              </w:rPr>
            </w:pPr>
            <w:r w:rsidRPr="00C50252">
              <w:rPr>
                <w:rFonts w:cs="Arial"/>
                <w:b/>
                <w:sz w:val="18"/>
                <w:szCs w:val="20"/>
                <w:lang w:val="en-US"/>
              </w:rPr>
              <w:t>2</w:t>
            </w:r>
          </w:p>
        </w:tc>
        <w:tc>
          <w:tcPr>
            <w:tcW w:w="4132" w:type="dxa"/>
            <w:hideMark/>
          </w:tcPr>
          <w:p w14:paraId="28BD7A37" w14:textId="77777777" w:rsidR="004C69A4" w:rsidRPr="00C50252" w:rsidRDefault="004C69A4" w:rsidP="004C69A4">
            <w:pPr>
              <w:pStyle w:val="NoSpacing"/>
              <w:rPr>
                <w:lang w:val="en-US"/>
              </w:rPr>
            </w:pPr>
            <w:r w:rsidRPr="00C50252">
              <w:rPr>
                <w:b/>
                <w:lang w:val="en-US"/>
              </w:rPr>
              <w:t>Cost of living of a typical family:</w:t>
            </w:r>
            <w:r w:rsidRPr="00C50252">
              <w:rPr>
                <w:lang w:val="en-US"/>
              </w:rPr>
              <w:t xml:space="preserve"> The living wage estimation </w:t>
            </w:r>
            <w:proofErr w:type="spellStart"/>
            <w:r w:rsidRPr="00C50252">
              <w:rPr>
                <w:lang w:val="en-US"/>
              </w:rPr>
              <w:t>organisation</w:t>
            </w:r>
            <w:proofErr w:type="spellEnd"/>
            <w:r w:rsidRPr="00C50252">
              <w:rPr>
                <w:lang w:val="en-US"/>
              </w:rPr>
              <w:t xml:space="preserve"> shall measure the cost of living of a typical family in a region. A typical family in a region means that the size of a family is estimated based on regional (or national) data through family size data or total-fertility data.</w:t>
            </w:r>
          </w:p>
        </w:tc>
        <w:tc>
          <w:tcPr>
            <w:tcW w:w="5954" w:type="dxa"/>
          </w:tcPr>
          <w:p w14:paraId="08064C60" w14:textId="3220DB14" w:rsidR="004C69A4" w:rsidRPr="00C50252" w:rsidRDefault="009C4FF3" w:rsidP="00D449E9">
            <w:pPr>
              <w:tabs>
                <w:tab w:val="clear" w:pos="2333"/>
              </w:tabs>
              <w:rPr>
                <w:rFonts w:ascii="Calibri" w:hAnsi="Calibri" w:cs="Calibri"/>
                <w:sz w:val="18"/>
                <w:szCs w:val="20"/>
                <w:lang w:val="en-US"/>
              </w:rPr>
            </w:pPr>
            <w:r>
              <w:rPr>
                <w:rFonts w:ascii="Calibri" w:hAnsi="Calibri" w:cs="Calibri"/>
                <w:sz w:val="18"/>
                <w:szCs w:val="20"/>
                <w:lang w:val="en-US"/>
              </w:rPr>
              <w:t>LW4US</w:t>
            </w:r>
            <w:r w:rsidR="004C69A4" w:rsidRPr="00C50252">
              <w:rPr>
                <w:rFonts w:ascii="Calibri" w:hAnsi="Calibri" w:cs="Calibri"/>
                <w:sz w:val="18"/>
                <w:szCs w:val="20"/>
                <w:lang w:val="en-US"/>
              </w:rPr>
              <w:t xml:space="preserve"> use</w:t>
            </w:r>
            <w:r>
              <w:rPr>
                <w:rFonts w:ascii="Calibri" w:hAnsi="Calibri" w:cs="Calibri"/>
                <w:sz w:val="18"/>
                <w:szCs w:val="20"/>
                <w:lang w:val="en-US"/>
              </w:rPr>
              <w:t>s</w:t>
            </w:r>
            <w:r w:rsidR="004C69A4" w:rsidRPr="00C50252">
              <w:rPr>
                <w:rFonts w:ascii="Calibri" w:hAnsi="Calibri" w:cs="Calibri"/>
                <w:sz w:val="18"/>
                <w:szCs w:val="20"/>
                <w:lang w:val="en-US"/>
              </w:rPr>
              <w:t xml:space="preserve"> fertility data on the national level to estimate family size, following an identical approach to the </w:t>
            </w:r>
            <w:r w:rsidR="00D449E9" w:rsidRPr="00D449E9">
              <w:rPr>
                <w:rFonts w:ascii="Calibri" w:hAnsi="Calibri" w:cs="Calibri"/>
                <w:sz w:val="18"/>
                <w:szCs w:val="20"/>
                <w:lang w:val="en-US"/>
              </w:rPr>
              <w:t>Anker Methodology®</w:t>
            </w:r>
            <w:r w:rsidR="00D449E9">
              <w:rPr>
                <w:rFonts w:ascii="Calibri" w:hAnsi="Calibri" w:cs="Calibri"/>
                <w:sz w:val="18"/>
                <w:szCs w:val="20"/>
                <w:lang w:val="en-US"/>
              </w:rPr>
              <w:t xml:space="preserve"> </w:t>
            </w:r>
            <w:r w:rsidR="004C69A4" w:rsidRPr="00C50252">
              <w:rPr>
                <w:rFonts w:ascii="Calibri" w:hAnsi="Calibri" w:cs="Calibri"/>
                <w:sz w:val="18"/>
                <w:szCs w:val="20"/>
                <w:lang w:val="en-US"/>
              </w:rPr>
              <w:t xml:space="preserve">for this aspect of our calculations. We have a family size of 4 in the US which also aligns with typical US family size where children are present. </w:t>
            </w:r>
            <w:r w:rsidR="004C69A4" w:rsidRPr="00C50252">
              <w:rPr>
                <w:rFonts w:ascii="Calibri" w:hAnsi="Calibri" w:cs="Calibri"/>
                <w:sz w:val="18"/>
                <w:szCs w:val="20"/>
                <w:lang w:val="en-US"/>
              </w:rPr>
              <w:br/>
            </w:r>
            <w:r w:rsidR="004C69A4" w:rsidRPr="00C50252">
              <w:rPr>
                <w:rFonts w:ascii="Calibri" w:hAnsi="Calibri" w:cs="Calibri"/>
                <w:sz w:val="18"/>
                <w:szCs w:val="20"/>
                <w:lang w:val="en-US"/>
              </w:rPr>
              <w:br/>
              <w:t>LW4US adopts a 4</w:t>
            </w:r>
            <w:r w:rsidR="009E3EE8" w:rsidRPr="00C50252">
              <w:rPr>
                <w:rFonts w:ascii="Calibri" w:hAnsi="Calibri" w:cs="Calibri"/>
                <w:sz w:val="18"/>
                <w:szCs w:val="20"/>
                <w:lang w:val="en-US"/>
              </w:rPr>
              <w:t>-</w:t>
            </w:r>
            <w:r w:rsidR="004C69A4" w:rsidRPr="00C50252">
              <w:rPr>
                <w:rFonts w:ascii="Calibri" w:hAnsi="Calibri" w:cs="Calibri"/>
                <w:sz w:val="18"/>
                <w:szCs w:val="20"/>
                <w:lang w:val="en-US"/>
              </w:rPr>
              <w:t xml:space="preserve">person family makeup. This corresponds with the average number of people in a family household with their own children, which is stated as 4.00 by the U.S. Census Bureau. If other family types without their own children are included, the average family size is 3.15 according to the U.S. Census Bureau. Since we are assuming 2 adults per family, and thus the potential of more workers to cover the cost of a decent living for the family, we have aligned with the widely accepted principle of the </w:t>
            </w:r>
            <w:r w:rsidR="00D449E9" w:rsidRPr="00D449E9">
              <w:rPr>
                <w:rFonts w:ascii="Calibri" w:hAnsi="Calibri" w:cs="Calibri"/>
                <w:sz w:val="18"/>
                <w:szCs w:val="20"/>
                <w:lang w:val="en-US"/>
              </w:rPr>
              <w:t>Anker</w:t>
            </w:r>
            <w:r w:rsidR="00D449E9">
              <w:rPr>
                <w:rFonts w:ascii="Calibri" w:hAnsi="Calibri" w:cs="Calibri"/>
                <w:sz w:val="18"/>
                <w:szCs w:val="20"/>
                <w:lang w:val="en-US"/>
              </w:rPr>
              <w:t xml:space="preserve"> </w:t>
            </w:r>
            <w:r w:rsidR="00D449E9" w:rsidRPr="00D449E9">
              <w:rPr>
                <w:rFonts w:ascii="Calibri" w:hAnsi="Calibri" w:cs="Calibri"/>
                <w:sz w:val="18"/>
                <w:szCs w:val="20"/>
                <w:lang w:val="en-US"/>
              </w:rPr>
              <w:t>Methodology®</w:t>
            </w:r>
            <w:r w:rsidR="00D449E9">
              <w:rPr>
                <w:rFonts w:ascii="Calibri" w:hAnsi="Calibri" w:cs="Calibri"/>
                <w:sz w:val="18"/>
                <w:szCs w:val="20"/>
                <w:lang w:val="en-US"/>
              </w:rPr>
              <w:t xml:space="preserve"> </w:t>
            </w:r>
            <w:r w:rsidR="004C69A4" w:rsidRPr="00C50252">
              <w:rPr>
                <w:rFonts w:ascii="Calibri" w:hAnsi="Calibri" w:cs="Calibri"/>
                <w:sz w:val="18"/>
                <w:szCs w:val="20"/>
                <w:lang w:val="en-US"/>
              </w:rPr>
              <w:t xml:space="preserve">for calculating living wages, which recommends using a family size of 4 as the minimum. If we chose to use the figure of 3.15 for the number of family members, we would also need to drop the assumption that there are two adults per family available to contribute wages to our model family. In this case, our living wage estimates would increase considerably, despite the smaller family composition. This is because the impact of fewer people in the family is not as strong (due to economies of scale on aspects like rent that remain the same despite losing 1 child) as the impact of having fewer workers counted per family. This would more accurately represent the situation faced by single parents, for example. But our choice was to align with the model widely accepted globally and presented by the </w:t>
            </w:r>
            <w:r w:rsidR="00D449E9" w:rsidRPr="00D449E9">
              <w:rPr>
                <w:rFonts w:ascii="Calibri" w:hAnsi="Calibri" w:cs="Calibri"/>
                <w:sz w:val="18"/>
                <w:szCs w:val="20"/>
                <w:lang w:val="en-US"/>
              </w:rPr>
              <w:t>Anker Methodology®</w:t>
            </w:r>
            <w:r>
              <w:rPr>
                <w:rFonts w:ascii="Calibri" w:hAnsi="Calibri" w:cs="Calibri"/>
                <w:sz w:val="18"/>
                <w:szCs w:val="20"/>
                <w:lang w:val="en-US"/>
              </w:rPr>
              <w:t xml:space="preserve">. The fertility rate in the U.S. is 1.66. We apply the minimum of 2 children called for by the </w:t>
            </w:r>
            <w:r w:rsidR="00D449E9" w:rsidRPr="00D449E9">
              <w:rPr>
                <w:rFonts w:ascii="Calibri" w:hAnsi="Calibri" w:cs="Calibri"/>
                <w:sz w:val="18"/>
                <w:szCs w:val="20"/>
                <w:lang w:val="en-US"/>
              </w:rPr>
              <w:t>Anker Methodology®</w:t>
            </w:r>
            <w:r>
              <w:rPr>
                <w:rFonts w:ascii="Calibri" w:hAnsi="Calibri" w:cs="Calibri"/>
                <w:sz w:val="18"/>
                <w:szCs w:val="20"/>
                <w:lang w:val="en-US"/>
              </w:rPr>
              <w:t xml:space="preserve">.  </w:t>
            </w:r>
          </w:p>
        </w:tc>
      </w:tr>
      <w:tr w:rsidR="004C69A4" w:rsidRPr="004D47B6" w14:paraId="1AC16E31" w14:textId="77777777" w:rsidTr="001A2DAE">
        <w:trPr>
          <w:trHeight w:val="300"/>
        </w:trPr>
        <w:tc>
          <w:tcPr>
            <w:tcW w:w="399" w:type="dxa"/>
            <w:hideMark/>
          </w:tcPr>
          <w:p w14:paraId="22931DBA" w14:textId="77777777" w:rsidR="004C69A4" w:rsidRPr="00C50252" w:rsidRDefault="004C69A4" w:rsidP="004C69A4">
            <w:pPr>
              <w:rPr>
                <w:rFonts w:cs="Arial"/>
                <w:b/>
                <w:sz w:val="18"/>
                <w:szCs w:val="20"/>
                <w:lang w:val="en-US"/>
              </w:rPr>
            </w:pPr>
            <w:r w:rsidRPr="00C50252">
              <w:rPr>
                <w:rFonts w:cs="Arial"/>
                <w:b/>
                <w:sz w:val="18"/>
                <w:szCs w:val="20"/>
                <w:lang w:val="en-US"/>
              </w:rPr>
              <w:t>3</w:t>
            </w:r>
          </w:p>
        </w:tc>
        <w:tc>
          <w:tcPr>
            <w:tcW w:w="4132" w:type="dxa"/>
            <w:hideMark/>
          </w:tcPr>
          <w:p w14:paraId="00E83D05" w14:textId="77777777" w:rsidR="004C69A4" w:rsidRPr="00C50252" w:rsidRDefault="004C69A4" w:rsidP="004C69A4">
            <w:pPr>
              <w:pStyle w:val="NoSpacing"/>
              <w:rPr>
                <w:lang w:val="en-US"/>
              </w:rPr>
            </w:pPr>
            <w:r w:rsidRPr="00C50252">
              <w:rPr>
                <w:b/>
                <w:lang w:val="en-US"/>
              </w:rPr>
              <w:t>Items of cost of living:</w:t>
            </w:r>
            <w:r w:rsidRPr="00C50252">
              <w:rPr>
                <w:lang w:val="en-US"/>
              </w:rPr>
              <w:t xml:space="preserve"> The living wage estimation </w:t>
            </w:r>
            <w:proofErr w:type="spellStart"/>
            <w:r w:rsidRPr="00C50252">
              <w:rPr>
                <w:lang w:val="en-US"/>
              </w:rPr>
              <w:t>organisations</w:t>
            </w:r>
            <w:proofErr w:type="spellEnd"/>
            <w:r w:rsidRPr="00C50252">
              <w:rPr>
                <w:lang w:val="en-US"/>
              </w:rPr>
              <w:t xml:space="preserve"> shall transparently itemize the living expenses included in the calculation of the living wage estimations based on requirements listed in the COICOP 2018. Typical expense categories include the following but other items might be added based on local contexts:</w:t>
            </w:r>
            <w:r w:rsidRPr="00C50252">
              <w:rPr>
                <w:lang w:val="en-US"/>
              </w:rPr>
              <w:br/>
              <w:t>- Nutritious food</w:t>
            </w:r>
            <w:r w:rsidRPr="00C50252">
              <w:rPr>
                <w:lang w:val="en-US"/>
              </w:rPr>
              <w:br/>
              <w:t>- Clothing and footwear</w:t>
            </w:r>
            <w:r w:rsidRPr="00C50252">
              <w:rPr>
                <w:lang w:val="en-US"/>
              </w:rPr>
              <w:br/>
            </w:r>
            <w:r w:rsidRPr="00C50252">
              <w:rPr>
                <w:lang w:val="en-US"/>
              </w:rPr>
              <w:lastRenderedPageBreak/>
              <w:t>- Housing (including rental costs, maintenance and furnishing)</w:t>
            </w:r>
            <w:r w:rsidRPr="00C50252">
              <w:rPr>
                <w:lang w:val="en-US"/>
              </w:rPr>
              <w:br/>
              <w:t>- Healthcare</w:t>
            </w:r>
            <w:r w:rsidRPr="00C50252">
              <w:rPr>
                <w:lang w:val="en-US"/>
              </w:rPr>
              <w:br/>
              <w:t>- Transportation</w:t>
            </w:r>
            <w:r w:rsidRPr="00C50252">
              <w:rPr>
                <w:lang w:val="en-US"/>
              </w:rPr>
              <w:br/>
              <w:t>- Information and communication</w:t>
            </w:r>
            <w:r w:rsidRPr="00C50252">
              <w:rPr>
                <w:lang w:val="en-US"/>
              </w:rPr>
              <w:br/>
              <w:t>- Recreation, sport and culture</w:t>
            </w:r>
            <w:r w:rsidRPr="00C50252">
              <w:rPr>
                <w:lang w:val="en-US"/>
              </w:rPr>
              <w:br/>
              <w:t>- Education services</w:t>
            </w:r>
            <w:r w:rsidRPr="00C50252">
              <w:rPr>
                <w:lang w:val="en-US"/>
              </w:rPr>
              <w:br/>
              <w:t>- Restaurants and accommodation services</w:t>
            </w:r>
            <w:r w:rsidRPr="00C50252">
              <w:rPr>
                <w:lang w:val="en-US"/>
              </w:rPr>
              <w:br/>
              <w:t>- Insurance and financial services</w:t>
            </w:r>
            <w:r w:rsidRPr="00C50252">
              <w:rPr>
                <w:lang w:val="en-US"/>
              </w:rPr>
              <w:br/>
              <w:t>- Personal care and other gender aspects (e.g. sanitary products)</w:t>
            </w:r>
            <w:r w:rsidRPr="00C50252">
              <w:rPr>
                <w:lang w:val="en-US"/>
              </w:rPr>
              <w:br/>
              <w:t>- Care (</w:t>
            </w:r>
            <w:proofErr w:type="spellStart"/>
            <w:r w:rsidRPr="00C50252">
              <w:rPr>
                <w:lang w:val="en-US"/>
              </w:rPr>
              <w:t>child+elder</w:t>
            </w:r>
            <w:proofErr w:type="spellEnd"/>
            <w:r w:rsidRPr="00C50252">
              <w:rPr>
                <w:lang w:val="en-US"/>
              </w:rPr>
              <w:t>)*</w:t>
            </w:r>
            <w:r w:rsidRPr="00C50252">
              <w:rPr>
                <w:lang w:val="en-US"/>
              </w:rPr>
              <w:br/>
              <w:t>- Other </w:t>
            </w:r>
            <w:r w:rsidRPr="00C50252">
              <w:rPr>
                <w:lang w:val="en-US"/>
              </w:rPr>
              <w:br/>
              <w:t>- A small margin for unexpected events</w:t>
            </w:r>
            <w:r w:rsidRPr="00C50252">
              <w:rPr>
                <w:lang w:val="en-US"/>
              </w:rPr>
              <w:br/>
              <w:t xml:space="preserve">The living wage estimation </w:t>
            </w:r>
            <w:proofErr w:type="spellStart"/>
            <w:r w:rsidRPr="00C50252">
              <w:rPr>
                <w:lang w:val="en-US"/>
              </w:rPr>
              <w:t>organisations</w:t>
            </w:r>
            <w:proofErr w:type="spellEnd"/>
            <w:r w:rsidRPr="00C50252">
              <w:rPr>
                <w:lang w:val="en-US"/>
              </w:rPr>
              <w:t xml:space="preserve"> shall provide an explanation on why they do not certain rubrics, for example, childcare.</w:t>
            </w:r>
          </w:p>
        </w:tc>
        <w:tc>
          <w:tcPr>
            <w:tcW w:w="5954" w:type="dxa"/>
          </w:tcPr>
          <w:p w14:paraId="68799120" w14:textId="31A54ADA" w:rsidR="004C69A4" w:rsidRPr="00C50252" w:rsidRDefault="009C4FF3" w:rsidP="004C69A4">
            <w:pPr>
              <w:rPr>
                <w:rFonts w:ascii="Calibri" w:hAnsi="Calibri" w:cs="Calibri"/>
                <w:sz w:val="18"/>
                <w:szCs w:val="20"/>
                <w:lang w:val="en-US"/>
              </w:rPr>
            </w:pPr>
            <w:r>
              <w:rPr>
                <w:rFonts w:ascii="Calibri" w:hAnsi="Calibri" w:cs="Calibri"/>
                <w:sz w:val="18"/>
                <w:szCs w:val="20"/>
                <w:lang w:val="en-US"/>
              </w:rPr>
              <w:lastRenderedPageBreak/>
              <w:t>LW4US</w:t>
            </w:r>
            <w:r w:rsidR="004C69A4" w:rsidRPr="00C50252">
              <w:rPr>
                <w:rFonts w:ascii="Calibri" w:hAnsi="Calibri" w:cs="Calibri"/>
                <w:sz w:val="18"/>
                <w:szCs w:val="20"/>
                <w:lang w:val="en-US"/>
              </w:rPr>
              <w:t xml:space="preserve"> include</w:t>
            </w:r>
            <w:r>
              <w:rPr>
                <w:rFonts w:ascii="Calibri" w:hAnsi="Calibri" w:cs="Calibri"/>
                <w:sz w:val="18"/>
                <w:szCs w:val="20"/>
                <w:lang w:val="en-US"/>
              </w:rPr>
              <w:t>s</w:t>
            </w:r>
            <w:r w:rsidR="004C69A4" w:rsidRPr="00C50252">
              <w:rPr>
                <w:rFonts w:ascii="Calibri" w:hAnsi="Calibri" w:cs="Calibri"/>
                <w:sz w:val="18"/>
                <w:szCs w:val="20"/>
                <w:lang w:val="en-US"/>
              </w:rPr>
              <w:t xml:space="preserve"> all costs mentioned. They are publicly available with the breakdown as follows: </w:t>
            </w:r>
            <w:r w:rsidR="00C50252" w:rsidRPr="00C50252">
              <w:rPr>
                <w:rFonts w:ascii="Calibri" w:hAnsi="Calibri" w:cs="Calibri"/>
                <w:sz w:val="18"/>
                <w:szCs w:val="20"/>
                <w:lang w:val="en-US"/>
              </w:rPr>
              <w:t>Nutritious</w:t>
            </w:r>
            <w:r w:rsidR="004C69A4" w:rsidRPr="00C50252">
              <w:rPr>
                <w:rFonts w:ascii="Calibri" w:hAnsi="Calibri" w:cs="Calibri"/>
                <w:sz w:val="18"/>
                <w:szCs w:val="20"/>
                <w:lang w:val="en-US"/>
              </w:rPr>
              <w:t xml:space="preserve"> food (USDA Low cost diet), Housing (2 bedroom apartment), Healthcare (insurance costs), healthcare (out of pocket costs), Transportation, Childcare, Retirement/Elder Care (as in the U.S. most workers are expected to save for their own elder care), Other (inclusive of all other categories of cost listed with</w:t>
            </w:r>
            <w:r>
              <w:rPr>
                <w:rFonts w:ascii="Calibri" w:hAnsi="Calibri" w:cs="Calibri"/>
                <w:sz w:val="18"/>
                <w:szCs w:val="20"/>
                <w:lang w:val="en-US"/>
              </w:rPr>
              <w:t xml:space="preserve"> only the</w:t>
            </w:r>
            <w:r w:rsidR="004C69A4" w:rsidRPr="00C50252">
              <w:rPr>
                <w:rFonts w:ascii="Calibri" w:hAnsi="Calibri" w:cs="Calibri"/>
                <w:sz w:val="18"/>
                <w:szCs w:val="20"/>
                <w:lang w:val="en-US"/>
              </w:rPr>
              <w:t xml:space="preserve"> exception</w:t>
            </w:r>
            <w:r>
              <w:rPr>
                <w:rFonts w:ascii="Calibri" w:hAnsi="Calibri" w:cs="Calibri"/>
                <w:sz w:val="18"/>
                <w:szCs w:val="20"/>
                <w:lang w:val="en-US"/>
              </w:rPr>
              <w:t xml:space="preserve"> of tobacco</w:t>
            </w:r>
            <w:r w:rsidR="004C69A4" w:rsidRPr="00C50252">
              <w:rPr>
                <w:rFonts w:ascii="Calibri" w:hAnsi="Calibri" w:cs="Calibri"/>
                <w:sz w:val="18"/>
                <w:szCs w:val="20"/>
                <w:lang w:val="en-US"/>
              </w:rPr>
              <w:t xml:space="preserve">), margin for unexpected events (5%). </w:t>
            </w:r>
            <w:r w:rsidR="004C69A4" w:rsidRPr="00C50252">
              <w:rPr>
                <w:rFonts w:ascii="Calibri" w:hAnsi="Calibri" w:cs="Calibri"/>
                <w:sz w:val="18"/>
                <w:szCs w:val="20"/>
                <w:lang w:val="en-US"/>
              </w:rPr>
              <w:br/>
            </w:r>
            <w:r w:rsidR="004C69A4" w:rsidRPr="00C50252">
              <w:rPr>
                <w:rFonts w:ascii="Calibri" w:hAnsi="Calibri" w:cs="Calibri"/>
                <w:sz w:val="18"/>
                <w:szCs w:val="20"/>
                <w:lang w:val="en-US"/>
              </w:rPr>
              <w:br/>
              <w:t>Other costs include:</w:t>
            </w:r>
            <w:r w:rsidR="004C69A4" w:rsidRPr="00C50252">
              <w:rPr>
                <w:rFonts w:ascii="Calibri" w:hAnsi="Calibri" w:cs="Calibri"/>
                <w:sz w:val="18"/>
                <w:szCs w:val="20"/>
                <w:lang w:val="en-US"/>
              </w:rPr>
              <w:br/>
            </w:r>
            <w:r w:rsidR="004C69A4" w:rsidRPr="00C50252">
              <w:rPr>
                <w:rFonts w:ascii="Calibri" w:hAnsi="Calibri" w:cs="Calibri"/>
                <w:sz w:val="18"/>
                <w:szCs w:val="20"/>
                <w:lang w:val="en-US"/>
              </w:rPr>
              <w:lastRenderedPageBreak/>
              <w:t>- Apparel and Services</w:t>
            </w:r>
            <w:r w:rsidR="004C69A4" w:rsidRPr="00C50252">
              <w:rPr>
                <w:rFonts w:ascii="Calibri" w:hAnsi="Calibri" w:cs="Calibri"/>
                <w:sz w:val="18"/>
                <w:szCs w:val="20"/>
                <w:lang w:val="en-US"/>
              </w:rPr>
              <w:br/>
              <w:t>- furnishings and equipment</w:t>
            </w:r>
            <w:r w:rsidR="004C69A4" w:rsidRPr="00C50252">
              <w:rPr>
                <w:rFonts w:ascii="Calibri" w:hAnsi="Calibri" w:cs="Calibri"/>
                <w:sz w:val="18"/>
                <w:szCs w:val="20"/>
                <w:lang w:val="en-US"/>
              </w:rPr>
              <w:br/>
              <w:t>- household operations</w:t>
            </w:r>
            <w:r w:rsidR="004C69A4" w:rsidRPr="00C50252">
              <w:rPr>
                <w:rFonts w:ascii="Calibri" w:hAnsi="Calibri" w:cs="Calibri"/>
                <w:sz w:val="18"/>
                <w:szCs w:val="20"/>
                <w:lang w:val="en-US"/>
              </w:rPr>
              <w:br/>
              <w:t>- housekeeping supplies</w:t>
            </w:r>
            <w:r w:rsidR="004C69A4" w:rsidRPr="00C50252">
              <w:rPr>
                <w:rFonts w:ascii="Calibri" w:hAnsi="Calibri" w:cs="Calibri"/>
                <w:sz w:val="18"/>
                <w:szCs w:val="20"/>
                <w:lang w:val="en-US"/>
              </w:rPr>
              <w:br/>
              <w:t>- telephone and internet services</w:t>
            </w:r>
            <w:r w:rsidR="004C69A4" w:rsidRPr="00C50252">
              <w:rPr>
                <w:rFonts w:ascii="Calibri" w:hAnsi="Calibri" w:cs="Calibri"/>
                <w:sz w:val="18"/>
                <w:szCs w:val="20"/>
                <w:lang w:val="en-US"/>
              </w:rPr>
              <w:br/>
              <w:t>- reading materials</w:t>
            </w:r>
            <w:r w:rsidR="004C69A4" w:rsidRPr="00C50252">
              <w:rPr>
                <w:rFonts w:ascii="Calibri" w:hAnsi="Calibri" w:cs="Calibri"/>
                <w:sz w:val="18"/>
                <w:szCs w:val="20"/>
                <w:lang w:val="en-US"/>
              </w:rPr>
              <w:br/>
              <w:t>- school supplies</w:t>
            </w:r>
            <w:r w:rsidR="004C69A4" w:rsidRPr="00C50252">
              <w:rPr>
                <w:rFonts w:ascii="Calibri" w:hAnsi="Calibri" w:cs="Calibri"/>
                <w:sz w:val="18"/>
                <w:szCs w:val="20"/>
                <w:lang w:val="en-US"/>
              </w:rPr>
              <w:br/>
              <w:t>- Entertainment – Including recreation, sport, and culture, restaurants, etc.</w:t>
            </w:r>
            <w:r w:rsidR="004C69A4" w:rsidRPr="00C50252">
              <w:rPr>
                <w:rFonts w:ascii="Calibri" w:hAnsi="Calibri" w:cs="Calibri"/>
                <w:sz w:val="18"/>
                <w:szCs w:val="20"/>
                <w:lang w:val="en-US"/>
              </w:rPr>
              <w:br/>
              <w:t>- Personal Care and Services</w:t>
            </w:r>
            <w:r w:rsidR="004C69A4" w:rsidRPr="00C50252">
              <w:rPr>
                <w:rFonts w:ascii="Calibri" w:hAnsi="Calibri" w:cs="Calibri"/>
                <w:sz w:val="18"/>
                <w:szCs w:val="20"/>
                <w:lang w:val="en-US"/>
              </w:rPr>
              <w:br/>
              <w:t>- Insurance and Other Financial Services (Retirement includes some of this)</w:t>
            </w:r>
            <w:r w:rsidR="004C69A4" w:rsidRPr="00C50252">
              <w:rPr>
                <w:rFonts w:ascii="Calibri" w:hAnsi="Calibri" w:cs="Calibri"/>
                <w:sz w:val="18"/>
                <w:szCs w:val="20"/>
                <w:lang w:val="en-US"/>
              </w:rPr>
              <w:br/>
              <w:t>- Other Miscellaneous</w:t>
            </w:r>
          </w:p>
        </w:tc>
      </w:tr>
      <w:tr w:rsidR="004C69A4" w:rsidRPr="004D47B6" w14:paraId="7FC9B866" w14:textId="77777777" w:rsidTr="001A2DAE">
        <w:trPr>
          <w:trHeight w:val="300"/>
        </w:trPr>
        <w:tc>
          <w:tcPr>
            <w:tcW w:w="399" w:type="dxa"/>
            <w:hideMark/>
          </w:tcPr>
          <w:p w14:paraId="09AD0C85" w14:textId="77777777" w:rsidR="004C69A4" w:rsidRPr="00C50252" w:rsidRDefault="004C69A4" w:rsidP="004C69A4">
            <w:pPr>
              <w:rPr>
                <w:rFonts w:cs="Arial"/>
                <w:b/>
                <w:sz w:val="18"/>
                <w:szCs w:val="20"/>
                <w:lang w:val="en-US"/>
              </w:rPr>
            </w:pPr>
            <w:r w:rsidRPr="00C50252">
              <w:rPr>
                <w:rFonts w:cs="Arial"/>
                <w:b/>
                <w:sz w:val="18"/>
                <w:szCs w:val="20"/>
                <w:lang w:val="en-US"/>
              </w:rPr>
              <w:lastRenderedPageBreak/>
              <w:t>4</w:t>
            </w:r>
          </w:p>
        </w:tc>
        <w:tc>
          <w:tcPr>
            <w:tcW w:w="4132" w:type="dxa"/>
            <w:hideMark/>
          </w:tcPr>
          <w:p w14:paraId="4EC5FF11" w14:textId="77777777" w:rsidR="004C69A4" w:rsidRPr="00C50252" w:rsidRDefault="004C69A4" w:rsidP="004C69A4">
            <w:pPr>
              <w:pStyle w:val="NoSpacing"/>
              <w:rPr>
                <w:lang w:val="en-US"/>
              </w:rPr>
            </w:pPr>
            <w:r w:rsidRPr="00C50252">
              <w:rPr>
                <w:b/>
                <w:lang w:val="en-US"/>
              </w:rPr>
              <w:t>Working adults:</w:t>
            </w:r>
            <w:r w:rsidRPr="00C50252">
              <w:rPr>
                <w:lang w:val="en-US"/>
              </w:rPr>
              <w:t xml:space="preserve"> The living wage estimation </w:t>
            </w:r>
            <w:proofErr w:type="spellStart"/>
            <w:r w:rsidRPr="00C50252">
              <w:rPr>
                <w:lang w:val="en-US"/>
              </w:rPr>
              <w:t>organisation</w:t>
            </w:r>
            <w:proofErr w:type="spellEnd"/>
            <w:r w:rsidRPr="00C50252">
              <w:rPr>
                <w:lang w:val="en-US"/>
              </w:rPr>
              <w:t xml:space="preserve"> shall factor in the expected number of working adults in a family by dividing the total cost of living by 1+ the employment rate. </w:t>
            </w:r>
            <w:r w:rsidRPr="00C50252">
              <w:rPr>
                <w:lang w:val="en-US"/>
              </w:rPr>
              <w:br/>
              <w:t>Additionally, a living wage that factors in for a single earner by dividing the total cost of living by 1 to represent the single earner in a typical size family is also accepted.</w:t>
            </w:r>
          </w:p>
        </w:tc>
        <w:tc>
          <w:tcPr>
            <w:tcW w:w="5954" w:type="dxa"/>
          </w:tcPr>
          <w:p w14:paraId="1CD70439" w14:textId="1C6CFAB7" w:rsidR="004C69A4" w:rsidRPr="00C50252" w:rsidRDefault="009C4FF3" w:rsidP="004C69A4">
            <w:pPr>
              <w:rPr>
                <w:rFonts w:ascii="Calibri" w:hAnsi="Calibri" w:cs="Calibri"/>
                <w:sz w:val="18"/>
                <w:szCs w:val="20"/>
                <w:lang w:val="en-US"/>
              </w:rPr>
            </w:pPr>
            <w:r>
              <w:rPr>
                <w:rFonts w:ascii="Calibri" w:hAnsi="Calibri" w:cs="Calibri"/>
                <w:sz w:val="18"/>
                <w:szCs w:val="20"/>
                <w:lang w:val="en-US"/>
              </w:rPr>
              <w:t xml:space="preserve">LW4US </w:t>
            </w:r>
            <w:r w:rsidR="004C69A4" w:rsidRPr="00C50252">
              <w:rPr>
                <w:rFonts w:ascii="Calibri" w:hAnsi="Calibri" w:cs="Calibri"/>
                <w:sz w:val="18"/>
                <w:szCs w:val="20"/>
                <w:lang w:val="en-US"/>
              </w:rPr>
              <w:t xml:space="preserve">currently </w:t>
            </w:r>
            <w:r>
              <w:rPr>
                <w:rFonts w:ascii="Calibri" w:hAnsi="Calibri" w:cs="Calibri"/>
                <w:sz w:val="18"/>
                <w:szCs w:val="20"/>
                <w:lang w:val="en-US"/>
              </w:rPr>
              <w:t>estimates</w:t>
            </w:r>
            <w:r w:rsidR="004C69A4" w:rsidRPr="00C50252">
              <w:rPr>
                <w:rFonts w:ascii="Calibri" w:hAnsi="Calibri" w:cs="Calibri"/>
                <w:sz w:val="18"/>
                <w:szCs w:val="20"/>
                <w:lang w:val="en-US"/>
              </w:rPr>
              <w:t xml:space="preserve"> 1.7565 workers per family in living wage estimates. </w:t>
            </w:r>
            <w:r w:rsidR="004C69A4" w:rsidRPr="00C50252">
              <w:rPr>
                <w:rFonts w:ascii="Calibri" w:hAnsi="Calibri" w:cs="Calibri"/>
                <w:sz w:val="18"/>
                <w:szCs w:val="20"/>
                <w:lang w:val="en-US"/>
              </w:rPr>
              <w:br/>
            </w:r>
            <w:r w:rsidR="004C69A4" w:rsidRPr="00C50252">
              <w:rPr>
                <w:rFonts w:ascii="Calibri" w:hAnsi="Calibri" w:cs="Calibri"/>
                <w:sz w:val="18"/>
                <w:szCs w:val="20"/>
                <w:lang w:val="en-US"/>
              </w:rPr>
              <w:br/>
              <w:t>The number of workers per family is not a simple statistic. It requires certain assumptions to accurately estimate for our model family. Such as that at least one worker is employed full-time since we are addressing the needs of working families rather than situations where neither parent is employed.</w:t>
            </w:r>
            <w:r w:rsidR="004C69A4" w:rsidRPr="00C50252">
              <w:rPr>
                <w:rFonts w:ascii="Calibri" w:hAnsi="Calibri" w:cs="Calibri"/>
                <w:sz w:val="18"/>
                <w:szCs w:val="20"/>
                <w:lang w:val="en-US"/>
              </w:rPr>
              <w:br/>
              <w:t xml:space="preserve">We assume one full-time worker, and assess the likelihood of a second worker in the family to establish our number of workers per family. </w:t>
            </w:r>
            <w:r>
              <w:rPr>
                <w:rFonts w:ascii="Calibri" w:hAnsi="Calibri" w:cs="Calibri"/>
                <w:sz w:val="18"/>
                <w:szCs w:val="20"/>
                <w:lang w:val="en-US"/>
              </w:rPr>
              <w:t>We us part-time employment rates, unemployment rates and labor force participation rates to estimate number of workers per family.</w:t>
            </w:r>
          </w:p>
        </w:tc>
      </w:tr>
      <w:tr w:rsidR="004C69A4" w:rsidRPr="00D21B1D" w14:paraId="747ECD74" w14:textId="77777777" w:rsidTr="001A2DAE">
        <w:trPr>
          <w:trHeight w:val="300"/>
        </w:trPr>
        <w:tc>
          <w:tcPr>
            <w:tcW w:w="399" w:type="dxa"/>
            <w:hideMark/>
          </w:tcPr>
          <w:p w14:paraId="78B41C02" w14:textId="77777777" w:rsidR="004C69A4" w:rsidRPr="00C50252" w:rsidRDefault="004C69A4" w:rsidP="004C69A4">
            <w:pPr>
              <w:rPr>
                <w:rFonts w:cs="Arial"/>
                <w:b/>
                <w:sz w:val="18"/>
                <w:szCs w:val="20"/>
                <w:lang w:val="en-US"/>
              </w:rPr>
            </w:pPr>
            <w:r w:rsidRPr="00C50252">
              <w:rPr>
                <w:rFonts w:cs="Arial"/>
                <w:b/>
                <w:sz w:val="18"/>
                <w:szCs w:val="20"/>
                <w:lang w:val="en-US"/>
              </w:rPr>
              <w:t>5</w:t>
            </w:r>
          </w:p>
        </w:tc>
        <w:tc>
          <w:tcPr>
            <w:tcW w:w="4132" w:type="dxa"/>
            <w:hideMark/>
          </w:tcPr>
          <w:p w14:paraId="30A37BC7" w14:textId="77777777" w:rsidR="004C69A4" w:rsidRPr="00C50252" w:rsidRDefault="004C69A4" w:rsidP="004C69A4">
            <w:pPr>
              <w:pStyle w:val="NoSpacing"/>
              <w:rPr>
                <w:lang w:val="en-US"/>
              </w:rPr>
            </w:pPr>
            <w:r w:rsidRPr="00C50252">
              <w:rPr>
                <w:b/>
                <w:lang w:val="en-US"/>
              </w:rPr>
              <w:t>Sufficient net income:</w:t>
            </w:r>
            <w:r w:rsidRPr="00C50252">
              <w:rPr>
                <w:lang w:val="en-US"/>
              </w:rPr>
              <w:t xml:space="preserve"> The living wage estimation </w:t>
            </w:r>
            <w:proofErr w:type="spellStart"/>
            <w:r w:rsidRPr="00C50252">
              <w:rPr>
                <w:lang w:val="en-US"/>
              </w:rPr>
              <w:t>organisation</w:t>
            </w:r>
            <w:proofErr w:type="spellEnd"/>
            <w:r w:rsidRPr="00C50252">
              <w:rPr>
                <w:lang w:val="en-US"/>
              </w:rPr>
              <w:t xml:space="preserve"> shall provide the gross living wage estimate, which is the gross pay required to ensure sufficient net take home pay to cover for the cost of living. This is necessary because net living wage would not account for statutory deductions from pay (such as income taxes, social security taxes, and union fees) which will reduce the take home pay and money available for day-to-day expenses. </w:t>
            </w:r>
          </w:p>
        </w:tc>
        <w:tc>
          <w:tcPr>
            <w:tcW w:w="5954" w:type="dxa"/>
          </w:tcPr>
          <w:p w14:paraId="0AD04F4C" w14:textId="137B177F" w:rsidR="004C69A4" w:rsidRPr="00C50252" w:rsidRDefault="004C69A4" w:rsidP="004C69A4">
            <w:pPr>
              <w:rPr>
                <w:rFonts w:ascii="Calibri" w:hAnsi="Calibri" w:cs="Calibri"/>
                <w:sz w:val="18"/>
                <w:szCs w:val="20"/>
                <w:lang w:val="en-US"/>
              </w:rPr>
            </w:pPr>
            <w:r w:rsidRPr="00C50252">
              <w:rPr>
                <w:rFonts w:ascii="Calibri" w:hAnsi="Calibri" w:cs="Calibri"/>
                <w:sz w:val="18"/>
                <w:szCs w:val="20"/>
                <w:lang w:val="en-US"/>
              </w:rPr>
              <w:t>Our approach to calculating taxes is described in the public methodology: https://livingwageforus.org/wp-content/uploads/2025/04/LW4US-Methodology.pdf</w:t>
            </w:r>
            <w:r w:rsidRPr="00C50252">
              <w:rPr>
                <w:rFonts w:ascii="Calibri" w:hAnsi="Calibri" w:cs="Calibri"/>
                <w:sz w:val="18"/>
                <w:szCs w:val="20"/>
                <w:lang w:val="en-US"/>
              </w:rPr>
              <w:br/>
            </w:r>
            <w:r w:rsidRPr="00C50252">
              <w:rPr>
                <w:rFonts w:ascii="Calibri" w:hAnsi="Calibri" w:cs="Calibri"/>
                <w:sz w:val="18"/>
                <w:szCs w:val="20"/>
                <w:lang w:val="en-US"/>
              </w:rPr>
              <w:br/>
              <w:t xml:space="preserve">Federal, state, and local payroll taxes are estimated and included using </w:t>
            </w:r>
            <w:hyperlink r:id="rId10" w:history="1">
              <w:proofErr w:type="spellStart"/>
              <w:r w:rsidRPr="009C4FF3">
                <w:rPr>
                  <w:rStyle w:val="Hyperlink"/>
                  <w:rFonts w:ascii="Calibri" w:hAnsi="Calibri" w:cs="Calibri"/>
                  <w:sz w:val="18"/>
                  <w:szCs w:val="20"/>
                  <w:lang w:val="en-US"/>
                </w:rPr>
                <w:t>Taxsim</w:t>
              </w:r>
              <w:proofErr w:type="spellEnd"/>
            </w:hyperlink>
            <w:r w:rsidRPr="00C50252">
              <w:rPr>
                <w:rFonts w:ascii="Calibri" w:hAnsi="Calibri" w:cs="Calibri"/>
                <w:sz w:val="18"/>
                <w:szCs w:val="20"/>
                <w:lang w:val="en-US"/>
              </w:rPr>
              <w:t xml:space="preserve"> </w:t>
            </w:r>
            <w:r w:rsidR="009C4FF3">
              <w:rPr>
                <w:rFonts w:ascii="Calibri" w:hAnsi="Calibri" w:cs="Calibri"/>
                <w:sz w:val="18"/>
                <w:szCs w:val="20"/>
                <w:lang w:val="en-US"/>
              </w:rPr>
              <w:t xml:space="preserve">from the National Bureau of Economic Research </w:t>
            </w:r>
            <w:r w:rsidRPr="00C50252">
              <w:rPr>
                <w:rFonts w:ascii="Calibri" w:hAnsi="Calibri" w:cs="Calibri"/>
                <w:sz w:val="18"/>
                <w:szCs w:val="20"/>
                <w:lang w:val="en-US"/>
              </w:rPr>
              <w:t>and adding local tax rates.</w:t>
            </w:r>
          </w:p>
        </w:tc>
      </w:tr>
      <w:tr w:rsidR="004C69A4" w:rsidRPr="004D47B6" w14:paraId="35726A28" w14:textId="77777777" w:rsidTr="001A2DAE">
        <w:trPr>
          <w:trHeight w:val="300"/>
        </w:trPr>
        <w:tc>
          <w:tcPr>
            <w:tcW w:w="399" w:type="dxa"/>
            <w:hideMark/>
          </w:tcPr>
          <w:p w14:paraId="3F9CD9D8" w14:textId="77777777" w:rsidR="004C69A4" w:rsidRPr="00C50252" w:rsidRDefault="004C69A4" w:rsidP="004C69A4">
            <w:pPr>
              <w:rPr>
                <w:rFonts w:cs="Arial"/>
                <w:b/>
                <w:sz w:val="18"/>
                <w:szCs w:val="20"/>
                <w:lang w:val="en-US"/>
              </w:rPr>
            </w:pPr>
            <w:r w:rsidRPr="00C50252">
              <w:rPr>
                <w:rFonts w:cs="Arial"/>
                <w:b/>
                <w:sz w:val="18"/>
                <w:szCs w:val="20"/>
                <w:lang w:val="en-US"/>
              </w:rPr>
              <w:t>6</w:t>
            </w:r>
          </w:p>
        </w:tc>
        <w:tc>
          <w:tcPr>
            <w:tcW w:w="4132" w:type="dxa"/>
            <w:hideMark/>
          </w:tcPr>
          <w:p w14:paraId="7F5E134C" w14:textId="77777777" w:rsidR="004C69A4" w:rsidRPr="00C50252" w:rsidRDefault="004C69A4" w:rsidP="004C69A4">
            <w:pPr>
              <w:pStyle w:val="NoSpacing"/>
              <w:rPr>
                <w:lang w:val="en-US"/>
              </w:rPr>
            </w:pPr>
            <w:r w:rsidRPr="00C50252">
              <w:rPr>
                <w:b/>
                <w:lang w:val="en-US"/>
              </w:rPr>
              <w:t>Differences in context:</w:t>
            </w:r>
            <w:r w:rsidRPr="00C50252">
              <w:rPr>
                <w:lang w:val="en-US"/>
              </w:rPr>
              <w:t xml:space="preserve"> The living wage estimation </w:t>
            </w:r>
            <w:proofErr w:type="spellStart"/>
            <w:r w:rsidRPr="00C50252">
              <w:rPr>
                <w:lang w:val="en-US"/>
              </w:rPr>
              <w:t>organisation</w:t>
            </w:r>
            <w:proofErr w:type="spellEnd"/>
            <w:r w:rsidRPr="00C50252">
              <w:rPr>
                <w:lang w:val="en-US"/>
              </w:rPr>
              <w:t xml:space="preserve"> shall assure that estimates are city/region-specific or at least account for urban and rural differences.</w:t>
            </w:r>
            <w:r w:rsidRPr="00C50252">
              <w:rPr>
                <w:lang w:val="en-US"/>
              </w:rPr>
              <w:br/>
              <w:t>For countries above a certain size (e.g. Australia, Argentina, Brazil, Canada, China, India, Russia, USA):</w:t>
            </w:r>
            <w:r w:rsidRPr="00C50252">
              <w:rPr>
                <w:lang w:val="en-US"/>
              </w:rPr>
              <w:br/>
              <w:t xml:space="preserve">- Living wage estimation </w:t>
            </w:r>
            <w:proofErr w:type="spellStart"/>
            <w:r w:rsidRPr="00C50252">
              <w:rPr>
                <w:lang w:val="en-US"/>
              </w:rPr>
              <w:t>organisations</w:t>
            </w:r>
            <w:proofErr w:type="spellEnd"/>
            <w:r w:rsidRPr="00C50252">
              <w:rPr>
                <w:lang w:val="en-US"/>
              </w:rPr>
              <w:t xml:space="preserve"> shall indicate whether subnational estimates are provided or not, and if the location for which the subnational estimates applies are based on governmental/sub-governmental delimitation (e.g. when the estimate applies to a specific sub-national province).</w:t>
            </w:r>
            <w:r w:rsidRPr="00C50252">
              <w:rPr>
                <w:lang w:val="en-US"/>
              </w:rPr>
              <w:br/>
              <w:t xml:space="preserve">- Living wage estimation </w:t>
            </w:r>
            <w:proofErr w:type="spellStart"/>
            <w:r w:rsidRPr="00C50252">
              <w:rPr>
                <w:lang w:val="en-US"/>
              </w:rPr>
              <w:t>organisations</w:t>
            </w:r>
            <w:proofErr w:type="spellEnd"/>
            <w:r w:rsidRPr="00C50252">
              <w:rPr>
                <w:lang w:val="en-US"/>
              </w:rPr>
              <w:t xml:space="preserve"> shall provide guidance on how to proceed when there are not subnational estimates or there is no estimate available for a given region (e.g. suggest that they use the national estimate, or a </w:t>
            </w:r>
            <w:proofErr w:type="spellStart"/>
            <w:r w:rsidRPr="00C50252">
              <w:rPr>
                <w:lang w:val="en-US"/>
              </w:rPr>
              <w:t>neighbouring</w:t>
            </w:r>
            <w:proofErr w:type="spellEnd"/>
            <w:r w:rsidRPr="00C50252">
              <w:rPr>
                <w:lang w:val="en-US"/>
              </w:rPr>
              <w:t xml:space="preserve"> region estimate).</w:t>
            </w:r>
          </w:p>
        </w:tc>
        <w:tc>
          <w:tcPr>
            <w:tcW w:w="5954" w:type="dxa"/>
          </w:tcPr>
          <w:p w14:paraId="57175706" w14:textId="4A894030" w:rsidR="004C69A4" w:rsidRPr="00C50252" w:rsidRDefault="009C4FF3" w:rsidP="004C69A4">
            <w:pPr>
              <w:rPr>
                <w:rFonts w:ascii="Calibri" w:hAnsi="Calibri" w:cs="Calibri"/>
                <w:sz w:val="18"/>
                <w:szCs w:val="20"/>
                <w:lang w:val="en-US"/>
              </w:rPr>
            </w:pPr>
            <w:r>
              <w:rPr>
                <w:rFonts w:ascii="Calibri" w:hAnsi="Calibri" w:cs="Calibri"/>
                <w:sz w:val="18"/>
                <w:szCs w:val="20"/>
                <w:lang w:val="en-US"/>
              </w:rPr>
              <w:t>LW4US</w:t>
            </w:r>
            <w:r w:rsidR="004C69A4" w:rsidRPr="00C50252">
              <w:rPr>
                <w:rFonts w:ascii="Calibri" w:hAnsi="Calibri" w:cs="Calibri"/>
                <w:sz w:val="18"/>
                <w:szCs w:val="20"/>
                <w:lang w:val="en-US"/>
              </w:rPr>
              <w:t xml:space="preserve"> </w:t>
            </w:r>
            <w:r>
              <w:rPr>
                <w:rFonts w:ascii="Calibri" w:hAnsi="Calibri" w:cs="Calibri"/>
                <w:sz w:val="18"/>
                <w:szCs w:val="20"/>
                <w:lang w:val="en-US"/>
              </w:rPr>
              <w:t>estimates living wage</w:t>
            </w:r>
            <w:r w:rsidR="004C69A4" w:rsidRPr="00C50252">
              <w:rPr>
                <w:rFonts w:ascii="Calibri" w:hAnsi="Calibri" w:cs="Calibri"/>
                <w:sz w:val="18"/>
                <w:szCs w:val="20"/>
                <w:lang w:val="en-US"/>
              </w:rPr>
              <w:t xml:space="preserve"> for every county across the U.S. That is 3,143 benchmarks. Then we group by data on commuting zones produced by USDA and based on where workers live vs. where they work. We use the lowest cost county in a commuting zone which gives us greater detail that follows actual worker movements and patterns and has specific boundaries for l</w:t>
            </w:r>
            <w:r w:rsidR="00C50252" w:rsidRPr="00C50252">
              <w:rPr>
                <w:rFonts w:ascii="Calibri" w:hAnsi="Calibri" w:cs="Calibri"/>
                <w:sz w:val="18"/>
                <w:szCs w:val="20"/>
                <w:lang w:val="en-US"/>
              </w:rPr>
              <w:t>i</w:t>
            </w:r>
            <w:r w:rsidR="004C69A4" w:rsidRPr="00C50252">
              <w:rPr>
                <w:rFonts w:ascii="Calibri" w:hAnsi="Calibri" w:cs="Calibri"/>
                <w:sz w:val="18"/>
                <w:szCs w:val="20"/>
                <w:lang w:val="en-US"/>
              </w:rPr>
              <w:t>ving wage estimates to apply across the U.S. in every area whether rural, urban, peri</w:t>
            </w:r>
            <w:r w:rsidR="00C50252" w:rsidRPr="00C50252">
              <w:rPr>
                <w:rFonts w:ascii="Calibri" w:hAnsi="Calibri" w:cs="Calibri"/>
                <w:sz w:val="18"/>
                <w:szCs w:val="20"/>
                <w:lang w:val="en-US"/>
              </w:rPr>
              <w:t>-</w:t>
            </w:r>
            <w:r w:rsidR="004C69A4" w:rsidRPr="00C50252">
              <w:rPr>
                <w:rFonts w:ascii="Calibri" w:hAnsi="Calibri" w:cs="Calibri"/>
                <w:sz w:val="18"/>
                <w:szCs w:val="20"/>
                <w:lang w:val="en-US"/>
              </w:rPr>
              <w:t xml:space="preserve">urban, etc. </w:t>
            </w:r>
            <w:r w:rsidR="004C69A4" w:rsidRPr="00C50252">
              <w:rPr>
                <w:rFonts w:ascii="Calibri" w:hAnsi="Calibri" w:cs="Calibri"/>
                <w:sz w:val="18"/>
                <w:szCs w:val="20"/>
                <w:lang w:val="en-US"/>
              </w:rPr>
              <w:br/>
            </w:r>
            <w:r w:rsidR="004C69A4" w:rsidRPr="00C50252">
              <w:rPr>
                <w:rFonts w:ascii="Calibri" w:hAnsi="Calibri" w:cs="Calibri"/>
                <w:sz w:val="18"/>
                <w:szCs w:val="20"/>
                <w:lang w:val="en-US"/>
              </w:rPr>
              <w:br/>
              <w:t>This is explained in detail in the public methodology: https://livingwageforus.org/wp-content/uploads/2025/04/LW4US-Methodology.pdf</w:t>
            </w:r>
          </w:p>
        </w:tc>
      </w:tr>
      <w:tr w:rsidR="004C69A4" w:rsidRPr="004D47B6" w14:paraId="5B599CC8" w14:textId="77777777" w:rsidTr="001A2DAE">
        <w:trPr>
          <w:trHeight w:val="300"/>
        </w:trPr>
        <w:tc>
          <w:tcPr>
            <w:tcW w:w="399" w:type="dxa"/>
            <w:hideMark/>
          </w:tcPr>
          <w:p w14:paraId="015F465E" w14:textId="77777777" w:rsidR="004C69A4" w:rsidRPr="00C50252" w:rsidRDefault="004C69A4" w:rsidP="004C69A4">
            <w:pPr>
              <w:rPr>
                <w:rFonts w:cs="Arial"/>
                <w:b/>
                <w:sz w:val="18"/>
                <w:szCs w:val="20"/>
                <w:lang w:val="en-US"/>
              </w:rPr>
            </w:pPr>
            <w:r w:rsidRPr="00C50252">
              <w:rPr>
                <w:rFonts w:cs="Arial"/>
                <w:b/>
                <w:sz w:val="18"/>
                <w:szCs w:val="20"/>
                <w:lang w:val="en-US"/>
              </w:rPr>
              <w:t>7</w:t>
            </w:r>
          </w:p>
        </w:tc>
        <w:tc>
          <w:tcPr>
            <w:tcW w:w="4132" w:type="dxa"/>
            <w:hideMark/>
          </w:tcPr>
          <w:p w14:paraId="3F1B42B7" w14:textId="77777777" w:rsidR="004C69A4" w:rsidRPr="00C50252" w:rsidRDefault="004C69A4" w:rsidP="004C69A4">
            <w:pPr>
              <w:pStyle w:val="NoSpacing"/>
              <w:rPr>
                <w:lang w:val="en-US"/>
              </w:rPr>
            </w:pPr>
            <w:r w:rsidRPr="00C50252">
              <w:rPr>
                <w:b/>
                <w:lang w:val="en-US"/>
              </w:rPr>
              <w:t>Conflict of Interest:</w:t>
            </w:r>
            <w:r w:rsidRPr="00C50252">
              <w:rPr>
                <w:lang w:val="en-US"/>
              </w:rPr>
              <w:t xml:space="preserve"> The living wage estimation </w:t>
            </w:r>
            <w:proofErr w:type="spellStart"/>
            <w:r w:rsidRPr="00C50252">
              <w:rPr>
                <w:lang w:val="en-US"/>
              </w:rPr>
              <w:t>organisation</w:t>
            </w:r>
            <w:proofErr w:type="spellEnd"/>
            <w:r w:rsidRPr="00C50252">
              <w:rPr>
                <w:lang w:val="en-US"/>
              </w:rPr>
              <w:t xml:space="preserve"> must have no inherent conflicts of interests. Methodologies must have sufficient distance from funding sources to maintain integrity. In addition, individual estimations results must not be influenced by the funding source.  </w:t>
            </w:r>
            <w:r w:rsidRPr="00C50252">
              <w:rPr>
                <w:lang w:val="en-US"/>
              </w:rPr>
              <w:br/>
            </w:r>
            <w:proofErr w:type="spellStart"/>
            <w:r w:rsidRPr="00C50252">
              <w:rPr>
                <w:lang w:val="en-US"/>
              </w:rPr>
              <w:lastRenderedPageBreak/>
              <w:t>Organisations</w:t>
            </w:r>
            <w:proofErr w:type="spellEnd"/>
            <w:r w:rsidRPr="00C50252">
              <w:rPr>
                <w:lang w:val="en-US"/>
              </w:rPr>
              <w:t xml:space="preserve"> who have other activities that can be perceived as a conflict of interest, such as auditing and certifying companies that use these estimations, need to publicly disclose what are the systems that have been implemented to avoid such conflicts.</w:t>
            </w:r>
          </w:p>
        </w:tc>
        <w:tc>
          <w:tcPr>
            <w:tcW w:w="5954" w:type="dxa"/>
          </w:tcPr>
          <w:p w14:paraId="13DB33A9" w14:textId="4697DFB5" w:rsidR="004C69A4" w:rsidRPr="00C50252" w:rsidRDefault="009C4FF3" w:rsidP="004C69A4">
            <w:pPr>
              <w:spacing w:after="240"/>
              <w:rPr>
                <w:rFonts w:ascii="Calibri" w:hAnsi="Calibri" w:cs="Calibri"/>
                <w:sz w:val="18"/>
                <w:szCs w:val="20"/>
                <w:lang w:val="en-US"/>
              </w:rPr>
            </w:pPr>
            <w:r>
              <w:rPr>
                <w:rFonts w:ascii="Calibri" w:hAnsi="Calibri" w:cs="Calibri"/>
                <w:color w:val="000000"/>
                <w:sz w:val="18"/>
                <w:szCs w:val="20"/>
                <w:lang w:val="en-US"/>
              </w:rPr>
              <w:lastRenderedPageBreak/>
              <w:t>LW4US works with</w:t>
            </w:r>
            <w:r w:rsidR="004C69A4" w:rsidRPr="00C50252">
              <w:rPr>
                <w:rFonts w:ascii="Calibri" w:hAnsi="Calibri" w:cs="Calibri"/>
                <w:color w:val="000000"/>
                <w:sz w:val="18"/>
                <w:szCs w:val="20"/>
                <w:lang w:val="en-US"/>
              </w:rPr>
              <w:t xml:space="preserve"> an independent research institute, Economic Policy Institute, </w:t>
            </w:r>
            <w:r>
              <w:rPr>
                <w:rFonts w:ascii="Calibri" w:hAnsi="Calibri" w:cs="Calibri"/>
                <w:color w:val="000000"/>
                <w:sz w:val="18"/>
                <w:szCs w:val="20"/>
                <w:lang w:val="en-US"/>
              </w:rPr>
              <w:t xml:space="preserve">to </w:t>
            </w:r>
            <w:r w:rsidR="004C69A4" w:rsidRPr="00C50252">
              <w:rPr>
                <w:rFonts w:ascii="Calibri" w:hAnsi="Calibri" w:cs="Calibri"/>
                <w:color w:val="000000"/>
                <w:sz w:val="18"/>
                <w:szCs w:val="20"/>
                <w:lang w:val="en-US"/>
              </w:rPr>
              <w:t xml:space="preserve">prepare most of our data and consult with us on other categories to ensure that any conflict of interest is avoided. It should be noted that the Economic Policy Institute is an independent research institute with its largest funders being foundations and unions. Here is a link to where that is clearly described on their site. </w:t>
            </w:r>
            <w:hyperlink r:id="rId11" w:tgtFrame="_blank" w:history="1">
              <w:r w:rsidR="004C69A4" w:rsidRPr="00C50252">
                <w:rPr>
                  <w:rStyle w:val="Hyperlink"/>
                  <w:rFonts w:ascii="Calibri" w:hAnsi="Calibri" w:cs="Calibri"/>
                  <w:sz w:val="18"/>
                  <w:szCs w:val="20"/>
                  <w:lang w:val="en-US"/>
                </w:rPr>
                <w:t>https://www.epi.org/about/funder-acknowledgments-and-disclosure-principles/</w:t>
              </w:r>
            </w:hyperlink>
            <w:r w:rsidR="004C69A4" w:rsidRPr="00C50252">
              <w:rPr>
                <w:rFonts w:ascii="Calibri" w:hAnsi="Calibri" w:cs="Calibri"/>
                <w:color w:val="000000"/>
                <w:sz w:val="18"/>
                <w:szCs w:val="20"/>
                <w:lang w:val="en-US"/>
              </w:rPr>
              <w:br/>
            </w:r>
            <w:r w:rsidR="004C69A4" w:rsidRPr="00C50252">
              <w:rPr>
                <w:rFonts w:ascii="Calibri" w:hAnsi="Calibri" w:cs="Calibri"/>
                <w:color w:val="000000"/>
                <w:sz w:val="18"/>
                <w:szCs w:val="20"/>
                <w:lang w:val="en-US"/>
              </w:rPr>
              <w:lastRenderedPageBreak/>
              <w:br/>
              <w:t>We review our changes to the EPI methodology with EPI annually, to ensure they do not find them problematic. We are currently working in partnership with EPI to get enough grant funding for them to take on our entire methodology because they do agree with our direction in terms of additions.</w:t>
            </w:r>
            <w:r w:rsidR="004C69A4" w:rsidRPr="00C50252">
              <w:rPr>
                <w:rFonts w:ascii="Calibri" w:hAnsi="Calibri" w:cs="Calibri"/>
                <w:color w:val="000000"/>
                <w:sz w:val="18"/>
                <w:szCs w:val="20"/>
                <w:lang w:val="en-US"/>
              </w:rPr>
              <w:br/>
            </w:r>
            <w:r w:rsidR="004C69A4" w:rsidRPr="00C50252">
              <w:rPr>
                <w:rFonts w:ascii="Calibri" w:hAnsi="Calibri" w:cs="Calibri"/>
                <w:color w:val="000000"/>
                <w:sz w:val="18"/>
                <w:szCs w:val="20"/>
                <w:lang w:val="en-US"/>
              </w:rPr>
              <w:br/>
              <w:t xml:space="preserve">With the exception of healthcare, wherein we assess lower rates as we account for public subsidies, we only increase values over EPI estimates by adding local taxes, adding a 5% margin for unexpected events, adding categories of “other” costs. </w:t>
            </w:r>
            <w:r w:rsidR="004C69A4" w:rsidRPr="00C50252">
              <w:rPr>
                <w:rFonts w:ascii="Calibri" w:hAnsi="Calibri" w:cs="Calibri"/>
                <w:color w:val="000000"/>
                <w:sz w:val="18"/>
                <w:szCs w:val="20"/>
                <w:lang w:val="en-US"/>
              </w:rPr>
              <w:br/>
            </w:r>
            <w:r w:rsidR="004C69A4" w:rsidRPr="00C50252">
              <w:rPr>
                <w:rFonts w:ascii="Calibri" w:hAnsi="Calibri" w:cs="Calibri"/>
                <w:color w:val="000000"/>
                <w:sz w:val="18"/>
                <w:szCs w:val="20"/>
                <w:lang w:val="en-US"/>
              </w:rPr>
              <w:br/>
              <w:t xml:space="preserve">Since our primary revenue is from companies and we only add more costs rather than subtracting from EPI data (healthcare exception) we feel this is strong evidence these additions are </w:t>
            </w:r>
            <w:r>
              <w:rPr>
                <w:rFonts w:ascii="Calibri" w:hAnsi="Calibri" w:cs="Calibri"/>
                <w:color w:val="000000"/>
                <w:sz w:val="18"/>
                <w:szCs w:val="20"/>
                <w:lang w:val="en-US"/>
              </w:rPr>
              <w:t xml:space="preserve">not </w:t>
            </w:r>
            <w:r w:rsidR="004C69A4" w:rsidRPr="00C50252">
              <w:rPr>
                <w:rFonts w:ascii="Calibri" w:hAnsi="Calibri" w:cs="Calibri"/>
                <w:color w:val="000000"/>
                <w:sz w:val="18"/>
                <w:szCs w:val="20"/>
                <w:lang w:val="en-US"/>
              </w:rPr>
              <w:t xml:space="preserve">biased </w:t>
            </w:r>
            <w:r>
              <w:rPr>
                <w:rFonts w:ascii="Calibri" w:hAnsi="Calibri" w:cs="Calibri"/>
                <w:color w:val="000000"/>
                <w:sz w:val="18"/>
                <w:szCs w:val="20"/>
                <w:lang w:val="en-US"/>
              </w:rPr>
              <w:t xml:space="preserve">in an effort </w:t>
            </w:r>
            <w:r w:rsidR="004C69A4" w:rsidRPr="00C50252">
              <w:rPr>
                <w:rFonts w:ascii="Calibri" w:hAnsi="Calibri" w:cs="Calibri"/>
                <w:color w:val="000000"/>
                <w:sz w:val="18"/>
                <w:szCs w:val="20"/>
                <w:lang w:val="en-US"/>
              </w:rPr>
              <w:t>to keep rates down for companies</w:t>
            </w:r>
            <w:r>
              <w:rPr>
                <w:rFonts w:ascii="Calibri" w:hAnsi="Calibri" w:cs="Calibri"/>
                <w:color w:val="000000"/>
                <w:sz w:val="18"/>
                <w:szCs w:val="20"/>
                <w:lang w:val="en-US"/>
              </w:rPr>
              <w:t xml:space="preserve"> in our certification system</w:t>
            </w:r>
            <w:r w:rsidR="004C69A4" w:rsidRPr="00C50252">
              <w:rPr>
                <w:rFonts w:ascii="Calibri" w:hAnsi="Calibri" w:cs="Calibri"/>
                <w:color w:val="000000"/>
                <w:sz w:val="18"/>
                <w:szCs w:val="20"/>
                <w:lang w:val="en-US"/>
              </w:rPr>
              <w:t>. Additionally, some categories we add, such as 5% margin for unexpected events are easy to check and align with common global practice. In other words, we follow the global lead rather than making our own exceptions.</w:t>
            </w:r>
            <w:r w:rsidR="004C69A4" w:rsidRPr="00C50252">
              <w:rPr>
                <w:rFonts w:ascii="Calibri" w:hAnsi="Calibri" w:cs="Calibri"/>
                <w:color w:val="000000"/>
                <w:sz w:val="18"/>
                <w:szCs w:val="20"/>
                <w:lang w:val="en-US"/>
              </w:rPr>
              <w:br/>
            </w:r>
            <w:r w:rsidR="004C69A4" w:rsidRPr="00C50252">
              <w:rPr>
                <w:rFonts w:ascii="Calibri" w:hAnsi="Calibri" w:cs="Calibri"/>
                <w:color w:val="000000"/>
                <w:sz w:val="18"/>
                <w:szCs w:val="20"/>
                <w:lang w:val="en-US"/>
              </w:rPr>
              <w:br/>
              <w:t xml:space="preserve">In terms of healthcare, we pull data directly from the same source used by EPI </w:t>
            </w:r>
            <w:r>
              <w:rPr>
                <w:rFonts w:ascii="Calibri" w:hAnsi="Calibri" w:cs="Calibri"/>
                <w:color w:val="000000"/>
                <w:sz w:val="18"/>
                <w:szCs w:val="20"/>
                <w:lang w:val="en-US"/>
              </w:rPr>
              <w:t>but</w:t>
            </w:r>
            <w:r w:rsidR="004C69A4" w:rsidRPr="00C50252">
              <w:rPr>
                <w:rFonts w:ascii="Calibri" w:hAnsi="Calibri" w:cs="Calibri"/>
                <w:color w:val="000000"/>
                <w:sz w:val="18"/>
                <w:szCs w:val="20"/>
                <w:lang w:val="en-US"/>
              </w:rPr>
              <w:t xml:space="preserve"> with the accounting of </w:t>
            </w:r>
            <w:r>
              <w:rPr>
                <w:rFonts w:ascii="Calibri" w:hAnsi="Calibri" w:cs="Calibri"/>
                <w:color w:val="000000"/>
                <w:sz w:val="18"/>
                <w:szCs w:val="20"/>
                <w:lang w:val="en-US"/>
              </w:rPr>
              <w:t xml:space="preserve">available public </w:t>
            </w:r>
            <w:r w:rsidR="004C69A4" w:rsidRPr="00C50252">
              <w:rPr>
                <w:rFonts w:ascii="Calibri" w:hAnsi="Calibri" w:cs="Calibri"/>
                <w:color w:val="000000"/>
                <w:sz w:val="18"/>
                <w:szCs w:val="20"/>
                <w:lang w:val="en-US"/>
              </w:rPr>
              <w:t>subsidies included.</w:t>
            </w:r>
            <w:r w:rsidR="004C69A4" w:rsidRPr="00C50252">
              <w:rPr>
                <w:rFonts w:ascii="Calibri" w:hAnsi="Calibri" w:cs="Calibri"/>
                <w:color w:val="000000"/>
                <w:sz w:val="18"/>
                <w:szCs w:val="20"/>
                <w:lang w:val="en-US"/>
              </w:rPr>
              <w:br/>
            </w:r>
            <w:r w:rsidR="004C69A4" w:rsidRPr="00C50252">
              <w:rPr>
                <w:rFonts w:ascii="Calibri" w:hAnsi="Calibri" w:cs="Calibri"/>
                <w:color w:val="000000"/>
                <w:sz w:val="18"/>
                <w:szCs w:val="20"/>
                <w:lang w:val="en-US"/>
              </w:rPr>
              <w:br/>
              <w:t>Additionally, we have an Advisory Council that reviews all the differences in our methodology. This is a multi-stakeholder group comprised of the following actors.</w:t>
            </w:r>
            <w:r w:rsidR="004C69A4" w:rsidRPr="00C50252">
              <w:rPr>
                <w:rFonts w:ascii="Calibri" w:hAnsi="Calibri" w:cs="Calibri"/>
                <w:color w:val="000000"/>
                <w:sz w:val="18"/>
                <w:szCs w:val="20"/>
                <w:lang w:val="en-US"/>
              </w:rPr>
              <w:br/>
            </w:r>
            <w:proofErr w:type="spellStart"/>
            <w:r w:rsidR="004C69A4" w:rsidRPr="00C50252">
              <w:rPr>
                <w:rFonts w:ascii="Calibri" w:hAnsi="Calibri" w:cs="Calibri"/>
                <w:color w:val="000000"/>
                <w:sz w:val="18"/>
                <w:szCs w:val="20"/>
                <w:lang w:val="en-US"/>
              </w:rPr>
              <w:t>i</w:t>
            </w:r>
            <w:proofErr w:type="spellEnd"/>
            <w:r w:rsidR="004C69A4" w:rsidRPr="00C50252">
              <w:rPr>
                <w:rFonts w:ascii="Calibri" w:hAnsi="Calibri" w:cs="Calibri"/>
                <w:color w:val="000000"/>
                <w:sz w:val="18"/>
                <w:szCs w:val="20"/>
                <w:lang w:val="en-US"/>
              </w:rPr>
              <w:t>. Oxfam America – Civil Society Stakeholder – Nationwide representation</w:t>
            </w:r>
            <w:r w:rsidR="004C69A4" w:rsidRPr="00C50252">
              <w:rPr>
                <w:rFonts w:ascii="Calibri" w:hAnsi="Calibri" w:cs="Calibri"/>
                <w:color w:val="000000"/>
                <w:sz w:val="18"/>
                <w:szCs w:val="20"/>
                <w:lang w:val="en-US"/>
              </w:rPr>
              <w:br/>
              <w:t xml:space="preserve">ii. Business for Social </w:t>
            </w:r>
            <w:r>
              <w:rPr>
                <w:rFonts w:ascii="Calibri" w:hAnsi="Calibri" w:cs="Calibri"/>
                <w:color w:val="000000"/>
                <w:sz w:val="18"/>
                <w:szCs w:val="20"/>
                <w:lang w:val="en-US"/>
              </w:rPr>
              <w:t>R</w:t>
            </w:r>
            <w:r w:rsidR="004C69A4" w:rsidRPr="00C50252">
              <w:rPr>
                <w:rFonts w:ascii="Calibri" w:hAnsi="Calibri" w:cs="Calibri"/>
                <w:color w:val="000000"/>
                <w:sz w:val="18"/>
                <w:szCs w:val="20"/>
                <w:lang w:val="en-US"/>
              </w:rPr>
              <w:t>esponsibility (BSR) – Civil Society Stakeholder – Nationwide representation</w:t>
            </w:r>
            <w:r w:rsidR="004C69A4" w:rsidRPr="00C50252">
              <w:rPr>
                <w:rFonts w:ascii="Calibri" w:hAnsi="Calibri" w:cs="Calibri"/>
                <w:color w:val="000000"/>
                <w:sz w:val="18"/>
                <w:szCs w:val="20"/>
                <w:lang w:val="en-US"/>
              </w:rPr>
              <w:br/>
              <w:t>iii. Barista Guild – Worker Representative Stakeholder – Nationwide representation</w:t>
            </w:r>
            <w:r w:rsidR="004C69A4" w:rsidRPr="00C50252">
              <w:rPr>
                <w:rFonts w:ascii="Calibri" w:hAnsi="Calibri" w:cs="Calibri"/>
                <w:color w:val="000000"/>
                <w:sz w:val="18"/>
                <w:szCs w:val="20"/>
                <w:lang w:val="en-US"/>
              </w:rPr>
              <w:br/>
              <w:t>iv. Workers Defense Action Fund - Worker Representative Stakeholder – Southern representation</w:t>
            </w:r>
            <w:r w:rsidR="004C69A4" w:rsidRPr="00C50252">
              <w:rPr>
                <w:rFonts w:ascii="Calibri" w:hAnsi="Calibri" w:cs="Calibri"/>
                <w:color w:val="000000"/>
                <w:sz w:val="18"/>
                <w:szCs w:val="20"/>
                <w:lang w:val="en-US"/>
              </w:rPr>
              <w:br/>
              <w:t>v. Tomkins County Workers’ Center - Worker Representative Stakeholder – Northeast representation</w:t>
            </w:r>
            <w:r w:rsidR="004C69A4" w:rsidRPr="00C50252">
              <w:rPr>
                <w:rFonts w:ascii="Calibri" w:hAnsi="Calibri" w:cs="Calibri"/>
                <w:color w:val="000000"/>
                <w:sz w:val="18"/>
                <w:szCs w:val="20"/>
                <w:lang w:val="en-US"/>
              </w:rPr>
              <w:br/>
              <w:t>vi. Well-Paid Maids - Certified Living Wage Employer – Northeast representation</w:t>
            </w:r>
            <w:r w:rsidR="004C69A4" w:rsidRPr="00C50252">
              <w:rPr>
                <w:rFonts w:ascii="Calibri" w:hAnsi="Calibri" w:cs="Calibri"/>
                <w:color w:val="000000"/>
                <w:sz w:val="18"/>
                <w:szCs w:val="20"/>
                <w:lang w:val="en-US"/>
              </w:rPr>
              <w:br/>
              <w:t>vii. Olympia Coffee Roasters – Certified Living Wage Employer – Northwest Representation</w:t>
            </w:r>
            <w:r w:rsidR="004C69A4" w:rsidRPr="00C50252">
              <w:rPr>
                <w:rFonts w:ascii="Calibri" w:hAnsi="Calibri" w:cs="Calibri"/>
                <w:color w:val="000000"/>
                <w:sz w:val="18"/>
                <w:szCs w:val="20"/>
                <w:lang w:val="en-US"/>
              </w:rPr>
              <w:br/>
              <w:t xml:space="preserve">viii. Dr. Bronner’s – Certified Living Wage Employer – Southwest Representation as well as nationwide footprint </w:t>
            </w:r>
          </w:p>
        </w:tc>
      </w:tr>
      <w:tr w:rsidR="004C69A4" w:rsidRPr="00D21B1D" w14:paraId="76ED452F" w14:textId="77777777" w:rsidTr="001A2DAE">
        <w:trPr>
          <w:trHeight w:val="300"/>
        </w:trPr>
        <w:tc>
          <w:tcPr>
            <w:tcW w:w="399" w:type="dxa"/>
            <w:hideMark/>
          </w:tcPr>
          <w:p w14:paraId="17E07BF3" w14:textId="77777777" w:rsidR="004C69A4" w:rsidRPr="00C50252" w:rsidRDefault="004C69A4" w:rsidP="004C69A4">
            <w:pPr>
              <w:rPr>
                <w:rFonts w:cs="Arial"/>
                <w:b/>
                <w:sz w:val="18"/>
                <w:szCs w:val="20"/>
                <w:lang w:val="en-US"/>
              </w:rPr>
            </w:pPr>
            <w:r w:rsidRPr="00C50252">
              <w:rPr>
                <w:rFonts w:cs="Arial"/>
                <w:b/>
                <w:sz w:val="18"/>
                <w:szCs w:val="20"/>
                <w:lang w:val="en-US"/>
              </w:rPr>
              <w:lastRenderedPageBreak/>
              <w:t>8</w:t>
            </w:r>
          </w:p>
        </w:tc>
        <w:tc>
          <w:tcPr>
            <w:tcW w:w="4132" w:type="dxa"/>
            <w:hideMark/>
          </w:tcPr>
          <w:p w14:paraId="19FFE435" w14:textId="77777777" w:rsidR="004C69A4" w:rsidRPr="00C50252" w:rsidRDefault="004C69A4" w:rsidP="004C69A4">
            <w:pPr>
              <w:pStyle w:val="NoSpacing"/>
              <w:rPr>
                <w:lang w:val="en-US"/>
              </w:rPr>
            </w:pPr>
            <w:r w:rsidRPr="00C50252">
              <w:rPr>
                <w:b/>
                <w:lang w:val="en-US"/>
              </w:rPr>
              <w:t>Transparency:</w:t>
            </w:r>
            <w:r w:rsidRPr="00C50252">
              <w:rPr>
                <w:lang w:val="en-US"/>
              </w:rPr>
              <w:t xml:space="preserve"> The living wage estimation </w:t>
            </w:r>
            <w:proofErr w:type="spellStart"/>
            <w:r w:rsidRPr="00C50252">
              <w:rPr>
                <w:lang w:val="en-US"/>
              </w:rPr>
              <w:t>organisation</w:t>
            </w:r>
            <w:proofErr w:type="spellEnd"/>
            <w:r w:rsidRPr="00C50252">
              <w:rPr>
                <w:lang w:val="en-US"/>
              </w:rPr>
              <w:t xml:space="preserve"> shall publish a clear and consistent step-by-step methodology for data collection, the data sources used and calculation elements, including a description of each step of the data collection, the calculation formulas used and a breakdown of the different components of the living wage estimation (see criterion 3).</w:t>
            </w:r>
          </w:p>
        </w:tc>
        <w:tc>
          <w:tcPr>
            <w:tcW w:w="5954" w:type="dxa"/>
          </w:tcPr>
          <w:p w14:paraId="08E2914F" w14:textId="77777777" w:rsidR="004C69A4" w:rsidRPr="00C50252" w:rsidRDefault="004C69A4" w:rsidP="004C69A4">
            <w:pPr>
              <w:rPr>
                <w:rFonts w:ascii="Calibri" w:hAnsi="Calibri" w:cs="Calibri"/>
                <w:sz w:val="18"/>
                <w:szCs w:val="20"/>
                <w:lang w:val="en-US"/>
              </w:rPr>
            </w:pPr>
            <w:r w:rsidRPr="00C50252">
              <w:rPr>
                <w:rFonts w:ascii="Calibri" w:hAnsi="Calibri" w:cs="Calibri"/>
                <w:color w:val="000000"/>
                <w:sz w:val="18"/>
                <w:szCs w:val="20"/>
                <w:lang w:val="en-US"/>
              </w:rPr>
              <w:t xml:space="preserve">Our methodology is published on our website along with the breakdown of costs and all living wage data. All is freely available. </w:t>
            </w:r>
            <w:r w:rsidRPr="00C50252">
              <w:rPr>
                <w:rFonts w:ascii="Calibri" w:hAnsi="Calibri" w:cs="Calibri"/>
                <w:color w:val="000000"/>
                <w:sz w:val="18"/>
                <w:szCs w:val="20"/>
                <w:lang w:val="en-US"/>
              </w:rPr>
              <w:br/>
            </w:r>
            <w:hyperlink r:id="rId12" w:tgtFrame="_blank" w:history="1">
              <w:r w:rsidRPr="00C50252">
                <w:rPr>
                  <w:rStyle w:val="Hyperlink"/>
                  <w:rFonts w:ascii="Calibri" w:hAnsi="Calibri" w:cs="Calibri"/>
                  <w:sz w:val="18"/>
                  <w:szCs w:val="20"/>
                  <w:lang w:val="en-US"/>
                </w:rPr>
                <w:t>https://livingwageforus.org/wp-content/uploads/2025/04/LW4US-Methodology.pdf</w:t>
              </w:r>
              <w:r w:rsidRPr="00C50252">
                <w:rPr>
                  <w:rFonts w:ascii="Calibri" w:hAnsi="Calibri" w:cs="Calibri"/>
                  <w:color w:val="0000FF"/>
                  <w:sz w:val="18"/>
                  <w:szCs w:val="20"/>
                  <w:u w:val="single"/>
                  <w:lang w:val="en-US"/>
                </w:rPr>
                <w:br/>
              </w:r>
              <w:r w:rsidRPr="00C50252">
                <w:rPr>
                  <w:rStyle w:val="Hyperlink"/>
                  <w:rFonts w:ascii="Calibri" w:hAnsi="Calibri" w:cs="Calibri"/>
                  <w:sz w:val="18"/>
                  <w:szCs w:val="20"/>
                  <w:lang w:val="en-US"/>
                </w:rPr>
                <w:t>https://livingwageforus.org/tier-ii-certification/</w:t>
              </w:r>
            </w:hyperlink>
          </w:p>
        </w:tc>
      </w:tr>
      <w:tr w:rsidR="004C69A4" w:rsidRPr="004D47B6" w14:paraId="23153155" w14:textId="77777777" w:rsidTr="001A2DAE">
        <w:trPr>
          <w:trHeight w:val="300"/>
        </w:trPr>
        <w:tc>
          <w:tcPr>
            <w:tcW w:w="399" w:type="dxa"/>
            <w:hideMark/>
          </w:tcPr>
          <w:p w14:paraId="078412D7" w14:textId="77777777" w:rsidR="004C69A4" w:rsidRPr="00C50252" w:rsidRDefault="004C69A4" w:rsidP="004C69A4">
            <w:pPr>
              <w:rPr>
                <w:rFonts w:cs="Arial"/>
                <w:b/>
                <w:sz w:val="18"/>
                <w:szCs w:val="20"/>
                <w:lang w:val="en-US"/>
              </w:rPr>
            </w:pPr>
            <w:r w:rsidRPr="00C50252">
              <w:rPr>
                <w:rFonts w:cs="Arial"/>
                <w:b/>
                <w:sz w:val="18"/>
                <w:szCs w:val="20"/>
                <w:lang w:val="en-US"/>
              </w:rPr>
              <w:t>9</w:t>
            </w:r>
          </w:p>
        </w:tc>
        <w:tc>
          <w:tcPr>
            <w:tcW w:w="4132" w:type="dxa"/>
            <w:hideMark/>
          </w:tcPr>
          <w:p w14:paraId="70D371D5" w14:textId="77777777" w:rsidR="004C69A4" w:rsidRPr="00C50252" w:rsidRDefault="004C69A4" w:rsidP="004C69A4">
            <w:pPr>
              <w:pStyle w:val="NoSpacing"/>
              <w:rPr>
                <w:lang w:val="en-US"/>
              </w:rPr>
            </w:pPr>
            <w:r w:rsidRPr="00C50252">
              <w:rPr>
                <w:b/>
                <w:lang w:val="en-US"/>
              </w:rPr>
              <w:t>Update of estimates:</w:t>
            </w:r>
            <w:r w:rsidRPr="00C50252">
              <w:rPr>
                <w:lang w:val="en-US"/>
              </w:rPr>
              <w:t xml:space="preserve"> If there is no on the ground data collection research every year, the living wage estimation </w:t>
            </w:r>
            <w:proofErr w:type="spellStart"/>
            <w:r w:rsidRPr="00C50252">
              <w:rPr>
                <w:lang w:val="en-US"/>
              </w:rPr>
              <w:t>organisation</w:t>
            </w:r>
            <w:proofErr w:type="spellEnd"/>
            <w:r w:rsidRPr="00C50252">
              <w:rPr>
                <w:lang w:val="en-US"/>
              </w:rPr>
              <w:t xml:space="preserve"> shall at least adjust their estimates according to inflation every year. </w:t>
            </w:r>
            <w:r w:rsidRPr="00C50252">
              <w:rPr>
                <w:lang w:val="en-US"/>
              </w:rPr>
              <w:br/>
              <w:t xml:space="preserve">Further adjustments beyond inflation, through a full on the ground study, should take place as frequent as possible. Living wage estimation </w:t>
            </w:r>
            <w:proofErr w:type="spellStart"/>
            <w:r w:rsidRPr="00C50252">
              <w:rPr>
                <w:lang w:val="en-US"/>
              </w:rPr>
              <w:t>organisations</w:t>
            </w:r>
            <w:proofErr w:type="spellEnd"/>
            <w:r w:rsidRPr="00C50252">
              <w:rPr>
                <w:lang w:val="en-US"/>
              </w:rPr>
              <w:t xml:space="preserve"> are encouraged to do so as much as their resources allow and no longer than every 5 to 10 years (considering local circumstances). Living wage estimation </w:t>
            </w:r>
            <w:proofErr w:type="spellStart"/>
            <w:r w:rsidRPr="00C50252">
              <w:rPr>
                <w:lang w:val="en-US"/>
              </w:rPr>
              <w:t>organisations</w:t>
            </w:r>
            <w:proofErr w:type="spellEnd"/>
            <w:r w:rsidRPr="00C50252">
              <w:rPr>
                <w:lang w:val="en-US"/>
              </w:rPr>
              <w:t xml:space="preserve"> shall provide justification on the frequency of their full studies and why they are </w:t>
            </w:r>
            <w:r w:rsidRPr="00C50252">
              <w:rPr>
                <w:lang w:val="en-US"/>
              </w:rPr>
              <w:lastRenderedPageBreak/>
              <w:t>not conducted within the ideal timeframe (e.g. financial or capacity limitations).</w:t>
            </w:r>
          </w:p>
        </w:tc>
        <w:tc>
          <w:tcPr>
            <w:tcW w:w="5954" w:type="dxa"/>
          </w:tcPr>
          <w:p w14:paraId="7AC2ED44" w14:textId="77777777" w:rsidR="004C69A4" w:rsidRPr="00C50252" w:rsidRDefault="004C69A4" w:rsidP="004C69A4">
            <w:pPr>
              <w:rPr>
                <w:rFonts w:ascii="Calibri" w:hAnsi="Calibri" w:cs="Calibri"/>
                <w:sz w:val="18"/>
                <w:szCs w:val="20"/>
                <w:lang w:val="en-US"/>
              </w:rPr>
            </w:pPr>
            <w:r w:rsidRPr="00C50252">
              <w:rPr>
                <w:rFonts w:ascii="Calibri" w:hAnsi="Calibri" w:cs="Calibri"/>
                <w:sz w:val="18"/>
                <w:szCs w:val="20"/>
                <w:lang w:val="en-US"/>
              </w:rPr>
              <w:lastRenderedPageBreak/>
              <w:t xml:space="preserve">We adjust every year with each category listed according to our methodology. At times, a certain data source for a cost within a bucket will only update every 2-3 years. Where that is the case, we update that cost category based on CPI for that category of cost specifically until new data is available. There is no year in which all categories are updated with inflation or in which just inflation adjustments are conducted for the living wage estimates. </w:t>
            </w:r>
          </w:p>
        </w:tc>
      </w:tr>
      <w:tr w:rsidR="004C69A4" w:rsidRPr="004D47B6" w14:paraId="4BAA5C5A" w14:textId="77777777" w:rsidTr="001A2DAE">
        <w:trPr>
          <w:trHeight w:val="300"/>
        </w:trPr>
        <w:tc>
          <w:tcPr>
            <w:tcW w:w="399" w:type="dxa"/>
            <w:hideMark/>
          </w:tcPr>
          <w:p w14:paraId="7F124572" w14:textId="77777777" w:rsidR="004C69A4" w:rsidRPr="00C50252" w:rsidRDefault="004C69A4" w:rsidP="004C69A4">
            <w:pPr>
              <w:rPr>
                <w:rFonts w:cs="Arial"/>
                <w:b/>
                <w:sz w:val="18"/>
                <w:szCs w:val="20"/>
                <w:lang w:val="en-US"/>
              </w:rPr>
            </w:pPr>
            <w:r w:rsidRPr="00C50252">
              <w:rPr>
                <w:rFonts w:cs="Arial"/>
                <w:b/>
                <w:sz w:val="18"/>
                <w:szCs w:val="20"/>
                <w:lang w:val="en-US"/>
              </w:rPr>
              <w:t>10</w:t>
            </w:r>
          </w:p>
        </w:tc>
        <w:tc>
          <w:tcPr>
            <w:tcW w:w="4132" w:type="dxa"/>
            <w:hideMark/>
          </w:tcPr>
          <w:p w14:paraId="7AFF0FC3" w14:textId="77777777" w:rsidR="004C69A4" w:rsidRPr="00C50252" w:rsidRDefault="004C69A4" w:rsidP="004C69A4">
            <w:pPr>
              <w:pStyle w:val="NoSpacing"/>
              <w:rPr>
                <w:lang w:val="en-US"/>
              </w:rPr>
            </w:pPr>
            <w:r w:rsidRPr="00C50252">
              <w:rPr>
                <w:b/>
                <w:lang w:val="en-US"/>
              </w:rPr>
              <w:t>Collection date and applicability:</w:t>
            </w:r>
            <w:r w:rsidRPr="00C50252">
              <w:rPr>
                <w:lang w:val="en-US"/>
              </w:rPr>
              <w:t xml:space="preserve"> The living wage estimation </w:t>
            </w:r>
            <w:proofErr w:type="spellStart"/>
            <w:r w:rsidRPr="00C50252">
              <w:rPr>
                <w:lang w:val="en-US"/>
              </w:rPr>
              <w:t>organisation</w:t>
            </w:r>
            <w:proofErr w:type="spellEnd"/>
            <w:r w:rsidRPr="00C50252">
              <w:rPr>
                <w:lang w:val="en-US"/>
              </w:rPr>
              <w:t xml:space="preserve"> shall explicitly mention the date of the data collection for each category separately and to explicitly mention the period for which the estimate is applicable.</w:t>
            </w:r>
          </w:p>
        </w:tc>
        <w:tc>
          <w:tcPr>
            <w:tcW w:w="5954" w:type="dxa"/>
          </w:tcPr>
          <w:p w14:paraId="7B1EE81E" w14:textId="77777777" w:rsidR="009C4FF3" w:rsidRDefault="004C69A4" w:rsidP="004C69A4">
            <w:pPr>
              <w:rPr>
                <w:rFonts w:ascii="Calibri" w:hAnsi="Calibri" w:cs="Calibri"/>
                <w:sz w:val="18"/>
                <w:szCs w:val="20"/>
                <w:lang w:val="en-US"/>
              </w:rPr>
            </w:pPr>
            <w:r w:rsidRPr="00C50252">
              <w:rPr>
                <w:rFonts w:ascii="Calibri" w:hAnsi="Calibri" w:cs="Calibri"/>
                <w:sz w:val="18"/>
                <w:szCs w:val="20"/>
                <w:lang w:val="en-US"/>
              </w:rPr>
              <w:t>Data collection dates are listed in our methodology. They are for data for 202</w:t>
            </w:r>
            <w:r w:rsidR="009C4FF3">
              <w:rPr>
                <w:rFonts w:ascii="Calibri" w:hAnsi="Calibri" w:cs="Calibri"/>
                <w:sz w:val="18"/>
                <w:szCs w:val="20"/>
                <w:lang w:val="en-US"/>
              </w:rPr>
              <w:t>5</w:t>
            </w:r>
            <w:r w:rsidRPr="00C50252">
              <w:rPr>
                <w:rFonts w:ascii="Calibri" w:hAnsi="Calibri" w:cs="Calibri"/>
                <w:sz w:val="18"/>
                <w:szCs w:val="20"/>
                <w:lang w:val="en-US"/>
              </w:rPr>
              <w:t xml:space="preserve">. </w:t>
            </w:r>
          </w:p>
          <w:p w14:paraId="260C9484" w14:textId="7F550146" w:rsidR="004C69A4" w:rsidRPr="00C50252" w:rsidRDefault="004C69A4" w:rsidP="004C69A4">
            <w:pPr>
              <w:rPr>
                <w:rFonts w:ascii="Calibri" w:hAnsi="Calibri" w:cs="Calibri"/>
                <w:sz w:val="18"/>
                <w:szCs w:val="20"/>
                <w:lang w:val="en-US"/>
              </w:rPr>
            </w:pPr>
            <w:r w:rsidRPr="00C50252">
              <w:rPr>
                <w:rFonts w:ascii="Calibri" w:hAnsi="Calibri" w:cs="Calibri"/>
                <w:sz w:val="18"/>
                <w:szCs w:val="20"/>
                <w:lang w:val="en-US"/>
              </w:rPr>
              <w:br/>
              <w:t>The period for which the living wage estimate is applicable is available in the wage map.</w:t>
            </w:r>
          </w:p>
        </w:tc>
      </w:tr>
      <w:tr w:rsidR="004C69A4" w:rsidRPr="004D47B6" w14:paraId="591C15EF" w14:textId="77777777" w:rsidTr="001A2DAE">
        <w:trPr>
          <w:trHeight w:val="300"/>
        </w:trPr>
        <w:tc>
          <w:tcPr>
            <w:tcW w:w="399" w:type="dxa"/>
            <w:hideMark/>
          </w:tcPr>
          <w:p w14:paraId="61A5BEB6" w14:textId="77777777" w:rsidR="004C69A4" w:rsidRPr="00C50252" w:rsidRDefault="004C69A4" w:rsidP="004C69A4">
            <w:pPr>
              <w:rPr>
                <w:rFonts w:cs="Arial"/>
                <w:b/>
                <w:sz w:val="18"/>
                <w:szCs w:val="20"/>
                <w:lang w:val="en-US"/>
              </w:rPr>
            </w:pPr>
            <w:r w:rsidRPr="00C50252">
              <w:rPr>
                <w:rFonts w:cs="Arial"/>
                <w:b/>
                <w:sz w:val="18"/>
                <w:szCs w:val="20"/>
                <w:lang w:val="en-US"/>
              </w:rPr>
              <w:t>11</w:t>
            </w:r>
          </w:p>
        </w:tc>
        <w:tc>
          <w:tcPr>
            <w:tcW w:w="4132" w:type="dxa"/>
            <w:hideMark/>
          </w:tcPr>
          <w:p w14:paraId="2E923A0A" w14:textId="77777777" w:rsidR="004C69A4" w:rsidRPr="00C50252" w:rsidRDefault="004C69A4" w:rsidP="004C69A4">
            <w:pPr>
              <w:pStyle w:val="NoSpacing"/>
              <w:rPr>
                <w:lang w:val="en-US"/>
              </w:rPr>
            </w:pPr>
            <w:r w:rsidRPr="00C50252">
              <w:rPr>
                <w:b/>
                <w:lang w:val="en-US"/>
              </w:rPr>
              <w:t>Local stakeholder participation:</w:t>
            </w:r>
            <w:r w:rsidRPr="00C50252">
              <w:rPr>
                <w:lang w:val="en-US"/>
              </w:rPr>
              <w:t xml:space="preserve"> The living wage estimation </w:t>
            </w:r>
            <w:proofErr w:type="spellStart"/>
            <w:r w:rsidRPr="00C50252">
              <w:rPr>
                <w:lang w:val="en-US"/>
              </w:rPr>
              <w:t>organisation</w:t>
            </w:r>
            <w:proofErr w:type="spellEnd"/>
            <w:r w:rsidRPr="00C50252">
              <w:rPr>
                <w:lang w:val="en-US"/>
              </w:rPr>
              <w:t xml:space="preserve"> shall specify when estimates were developed by, or in direct partnership with, local independent research institutions and </w:t>
            </w:r>
            <w:proofErr w:type="spellStart"/>
            <w:r w:rsidRPr="00C50252">
              <w:rPr>
                <w:lang w:val="en-US"/>
              </w:rPr>
              <w:t>labour</w:t>
            </w:r>
            <w:proofErr w:type="spellEnd"/>
            <w:r w:rsidRPr="00C50252">
              <w:rPr>
                <w:lang w:val="en-US"/>
              </w:rPr>
              <w:t xml:space="preserve"> representatives and were subject to local stakeholders’ consultation. Methodologies to describe how they consult local stakeholders.</w:t>
            </w:r>
          </w:p>
        </w:tc>
        <w:tc>
          <w:tcPr>
            <w:tcW w:w="5954" w:type="dxa"/>
          </w:tcPr>
          <w:p w14:paraId="3AC95704" w14:textId="77777777" w:rsidR="004C69A4" w:rsidRPr="00C50252" w:rsidRDefault="004C69A4" w:rsidP="004C69A4">
            <w:pPr>
              <w:spacing w:after="240"/>
              <w:rPr>
                <w:rFonts w:ascii="Calibri" w:hAnsi="Calibri" w:cs="Calibri"/>
                <w:sz w:val="18"/>
                <w:szCs w:val="20"/>
                <w:lang w:val="en-US"/>
              </w:rPr>
            </w:pPr>
            <w:r w:rsidRPr="00C50252">
              <w:rPr>
                <w:rFonts w:ascii="Calibri" w:hAnsi="Calibri" w:cs="Calibri"/>
                <w:sz w:val="18"/>
                <w:szCs w:val="20"/>
                <w:lang w:val="en-US"/>
              </w:rPr>
              <w:t>Our cooperation with the Economic Policy Institute (EPI) for the work they do in creating our living wage estimates is described in our methodolog</w:t>
            </w:r>
            <w:r w:rsidR="00C50252" w:rsidRPr="00C50252">
              <w:rPr>
                <w:rFonts w:ascii="Calibri" w:hAnsi="Calibri" w:cs="Calibri"/>
                <w:sz w:val="18"/>
                <w:szCs w:val="20"/>
                <w:lang w:val="en-US"/>
              </w:rPr>
              <w:t>y</w:t>
            </w:r>
            <w:r w:rsidRPr="00C50252">
              <w:rPr>
                <w:rFonts w:ascii="Calibri" w:hAnsi="Calibri" w:cs="Calibri"/>
                <w:sz w:val="18"/>
                <w:szCs w:val="20"/>
                <w:lang w:val="en-US"/>
              </w:rPr>
              <w:t>. When we originally developed our methodology, we searched for an independent research partner that was already building data on the costs of living we needed included in the living wage estimate methodology. EPI had a pre-existing methodology that met all of our needs for the vast majority of costs included in our living wage estimates. As such, we have been utilizing EPI’s data. EPI’s methodology is listed for each category they estimate. Any adjustments are also transparently explained alongside the reasoning.</w:t>
            </w:r>
            <w:r w:rsidRPr="00C50252">
              <w:rPr>
                <w:rFonts w:ascii="Calibri" w:hAnsi="Calibri" w:cs="Calibri"/>
                <w:sz w:val="18"/>
                <w:szCs w:val="20"/>
                <w:lang w:val="en-US"/>
              </w:rPr>
              <w:br/>
            </w:r>
            <w:r w:rsidRPr="00C50252">
              <w:rPr>
                <w:rFonts w:ascii="Calibri" w:hAnsi="Calibri" w:cs="Calibri"/>
                <w:sz w:val="18"/>
                <w:szCs w:val="20"/>
                <w:lang w:val="en-US"/>
              </w:rPr>
              <w:br/>
              <w:t>We consult with our standing advisory council on any adjustments to estimates or methodology. The advisory council is a multi-stakeholder group comprised of the following actors:</w:t>
            </w:r>
            <w:r w:rsidRPr="00C50252">
              <w:rPr>
                <w:rFonts w:ascii="Calibri" w:hAnsi="Calibri" w:cs="Calibri"/>
                <w:sz w:val="18"/>
                <w:szCs w:val="20"/>
                <w:lang w:val="en-US"/>
              </w:rPr>
              <w:br/>
            </w:r>
            <w:proofErr w:type="spellStart"/>
            <w:r w:rsidRPr="00C50252">
              <w:rPr>
                <w:rFonts w:ascii="Calibri" w:hAnsi="Calibri" w:cs="Calibri"/>
                <w:sz w:val="18"/>
                <w:szCs w:val="20"/>
                <w:lang w:val="en-US"/>
              </w:rPr>
              <w:t>i</w:t>
            </w:r>
            <w:proofErr w:type="spellEnd"/>
            <w:r w:rsidRPr="00C50252">
              <w:rPr>
                <w:rFonts w:ascii="Calibri" w:hAnsi="Calibri" w:cs="Calibri"/>
                <w:sz w:val="18"/>
                <w:szCs w:val="20"/>
                <w:lang w:val="en-US"/>
              </w:rPr>
              <w:t>. Oxfam America – Civil Society Stakeholder – Nationwide representation</w:t>
            </w:r>
            <w:r w:rsidRPr="00C50252">
              <w:rPr>
                <w:rFonts w:ascii="Calibri" w:hAnsi="Calibri" w:cs="Calibri"/>
                <w:sz w:val="18"/>
                <w:szCs w:val="20"/>
                <w:lang w:val="en-US"/>
              </w:rPr>
              <w:br/>
              <w:t>ii. Business for Social responsibility (BSR) – Civil Society Stakeholder – Nationwide representation</w:t>
            </w:r>
            <w:r w:rsidRPr="00C50252">
              <w:rPr>
                <w:rFonts w:ascii="Calibri" w:hAnsi="Calibri" w:cs="Calibri"/>
                <w:sz w:val="18"/>
                <w:szCs w:val="20"/>
                <w:lang w:val="en-US"/>
              </w:rPr>
              <w:br/>
              <w:t>iii. Barista Guild – Worker Representative Stakeholder – Nationwide representation</w:t>
            </w:r>
            <w:r w:rsidRPr="00C50252">
              <w:rPr>
                <w:rFonts w:ascii="Calibri" w:hAnsi="Calibri" w:cs="Calibri"/>
                <w:sz w:val="18"/>
                <w:szCs w:val="20"/>
                <w:lang w:val="en-US"/>
              </w:rPr>
              <w:br/>
              <w:t>iv. Workers Defense Action Fund - Worker Representative Stakeholder – Southern representation</w:t>
            </w:r>
            <w:r w:rsidRPr="00C50252">
              <w:rPr>
                <w:rFonts w:ascii="Calibri" w:hAnsi="Calibri" w:cs="Calibri"/>
                <w:sz w:val="18"/>
                <w:szCs w:val="20"/>
                <w:lang w:val="en-US"/>
              </w:rPr>
              <w:br/>
              <w:t>v. Tomkins County Workers’ Center - Worker Representative Stakeholder – Northeast representation</w:t>
            </w:r>
            <w:r w:rsidRPr="00C50252">
              <w:rPr>
                <w:rFonts w:ascii="Calibri" w:hAnsi="Calibri" w:cs="Calibri"/>
                <w:sz w:val="18"/>
                <w:szCs w:val="20"/>
                <w:lang w:val="en-US"/>
              </w:rPr>
              <w:br/>
              <w:t>vi. Well-Paid Maids - Certified Living Wage Employer – Northeast representation</w:t>
            </w:r>
            <w:r w:rsidRPr="00C50252">
              <w:rPr>
                <w:rFonts w:ascii="Calibri" w:hAnsi="Calibri" w:cs="Calibri"/>
                <w:sz w:val="18"/>
                <w:szCs w:val="20"/>
                <w:lang w:val="en-US"/>
              </w:rPr>
              <w:br/>
              <w:t>vii. Olympia Coffee Roasters – Certified Living Wage Employer – Northwest Representation</w:t>
            </w:r>
            <w:r w:rsidRPr="00C50252">
              <w:rPr>
                <w:rFonts w:ascii="Calibri" w:hAnsi="Calibri" w:cs="Calibri"/>
                <w:sz w:val="18"/>
                <w:szCs w:val="20"/>
                <w:lang w:val="en-US"/>
              </w:rPr>
              <w:br/>
              <w:t xml:space="preserve">viii. Dr. Bronner’s – Certified Living Wage Employer – Southwest Representation as well as nationwide footprint (joining 2025) </w:t>
            </w:r>
          </w:p>
        </w:tc>
      </w:tr>
      <w:tr w:rsidR="004C69A4" w:rsidRPr="004D47B6" w14:paraId="118CECE6" w14:textId="77777777" w:rsidTr="001A2DAE">
        <w:trPr>
          <w:trHeight w:val="300"/>
        </w:trPr>
        <w:tc>
          <w:tcPr>
            <w:tcW w:w="399" w:type="dxa"/>
            <w:hideMark/>
          </w:tcPr>
          <w:p w14:paraId="258257BB" w14:textId="77777777" w:rsidR="004C69A4" w:rsidRPr="00C50252" w:rsidRDefault="004C69A4" w:rsidP="004C69A4">
            <w:pPr>
              <w:rPr>
                <w:rFonts w:cs="Arial"/>
                <w:b/>
                <w:sz w:val="18"/>
                <w:szCs w:val="20"/>
                <w:lang w:val="en-US"/>
              </w:rPr>
            </w:pPr>
            <w:r w:rsidRPr="00C50252">
              <w:rPr>
                <w:rFonts w:cs="Arial"/>
                <w:b/>
                <w:sz w:val="18"/>
                <w:szCs w:val="20"/>
                <w:lang w:val="en-US"/>
              </w:rPr>
              <w:t>12</w:t>
            </w:r>
          </w:p>
        </w:tc>
        <w:tc>
          <w:tcPr>
            <w:tcW w:w="4132" w:type="dxa"/>
            <w:hideMark/>
          </w:tcPr>
          <w:p w14:paraId="146C559C" w14:textId="77777777" w:rsidR="004C69A4" w:rsidRPr="00C50252" w:rsidRDefault="004C69A4" w:rsidP="004C69A4">
            <w:pPr>
              <w:pStyle w:val="NoSpacing"/>
              <w:rPr>
                <w:lang w:val="en-US"/>
              </w:rPr>
            </w:pPr>
            <w:r w:rsidRPr="00C50252">
              <w:rPr>
                <w:b/>
                <w:lang w:val="en-US"/>
              </w:rPr>
              <w:t>Quality assurance:</w:t>
            </w:r>
            <w:r w:rsidRPr="00C50252">
              <w:rPr>
                <w:lang w:val="en-US"/>
              </w:rPr>
              <w:t xml:space="preserve"> The living wage estimation </w:t>
            </w:r>
            <w:proofErr w:type="spellStart"/>
            <w:r w:rsidRPr="00C50252">
              <w:rPr>
                <w:lang w:val="en-US"/>
              </w:rPr>
              <w:t>organisation</w:t>
            </w:r>
            <w:proofErr w:type="spellEnd"/>
            <w:r w:rsidRPr="00C50252">
              <w:rPr>
                <w:lang w:val="en-US"/>
              </w:rPr>
              <w:t xml:space="preserve"> shall ensure that the methodology is verified by an independent party with no conflict of interest (based on the ILO principle, chapter 3 of the report from March 2024). The living wage estimation </w:t>
            </w:r>
            <w:proofErr w:type="spellStart"/>
            <w:r w:rsidRPr="00C50252">
              <w:rPr>
                <w:lang w:val="en-US"/>
              </w:rPr>
              <w:t>organisation</w:t>
            </w:r>
            <w:proofErr w:type="spellEnd"/>
            <w:r w:rsidRPr="00C50252">
              <w:rPr>
                <w:lang w:val="en-US"/>
              </w:rPr>
              <w:t xml:space="preserve"> shall describe its quality assurance process during the recognition process. </w:t>
            </w:r>
          </w:p>
        </w:tc>
        <w:tc>
          <w:tcPr>
            <w:tcW w:w="5954" w:type="dxa"/>
          </w:tcPr>
          <w:p w14:paraId="1B1D0FC0" w14:textId="640DBF19" w:rsidR="004C69A4" w:rsidRPr="00C50252" w:rsidRDefault="004C69A4" w:rsidP="004C69A4">
            <w:pPr>
              <w:rPr>
                <w:rFonts w:ascii="Calibri" w:hAnsi="Calibri" w:cs="Calibri"/>
                <w:sz w:val="18"/>
                <w:szCs w:val="20"/>
                <w:lang w:val="en-US"/>
              </w:rPr>
            </w:pPr>
            <w:r w:rsidRPr="00C50252">
              <w:rPr>
                <w:rFonts w:ascii="Calibri" w:hAnsi="Calibri" w:cs="Calibri"/>
                <w:sz w:val="18"/>
                <w:szCs w:val="20"/>
                <w:lang w:val="en-US"/>
              </w:rPr>
              <w:t xml:space="preserve">We collect feedback and make changes on an ongoing basis. One example that we heard from stakeholders is that in the Seattle area, the commuting zone used counties that were unrealistically far from the city. As such, we adjusted to higher costs counties as representative. We work with over 200 different US organizations that use our data and help with ongoing feedback. All of these civil society organizations have their say every year as do our employers and those who work with our data on implementation. Any changes are approved by advisory council. </w:t>
            </w:r>
            <w:r w:rsidRPr="00C50252">
              <w:rPr>
                <w:rFonts w:ascii="Calibri" w:hAnsi="Calibri" w:cs="Calibri"/>
                <w:sz w:val="18"/>
                <w:szCs w:val="20"/>
                <w:lang w:val="en-US"/>
              </w:rPr>
              <w:br/>
            </w:r>
            <w:r w:rsidRPr="00C50252">
              <w:rPr>
                <w:rFonts w:ascii="Calibri" w:hAnsi="Calibri" w:cs="Calibri"/>
                <w:sz w:val="18"/>
                <w:szCs w:val="20"/>
                <w:lang w:val="en-US"/>
              </w:rPr>
              <w:br/>
              <w:t>Our Advisory Council meets on a quarterly basis. Our council represents perspectives from different regions and stakeholders across the US. They review any methodology changes and communicate any concerns on specific estimates.</w:t>
            </w:r>
            <w:r w:rsidRPr="00C50252">
              <w:rPr>
                <w:rFonts w:ascii="Calibri" w:hAnsi="Calibri" w:cs="Calibri"/>
                <w:sz w:val="18"/>
                <w:szCs w:val="20"/>
                <w:lang w:val="en-US"/>
              </w:rPr>
              <w:br/>
            </w:r>
            <w:r w:rsidRPr="00C50252">
              <w:rPr>
                <w:rFonts w:ascii="Calibri" w:hAnsi="Calibri" w:cs="Calibri"/>
                <w:sz w:val="18"/>
                <w:szCs w:val="20"/>
                <w:lang w:val="en-US"/>
              </w:rPr>
              <w:br/>
              <w:t>Additionally, most of our data is created by the independent research institute EPI. EPI has a strong reputation in labor research and is funded primarily by Foundations and Unions. EPI is aggregating and reviewing this data across a number of ex</w:t>
            </w:r>
            <w:r w:rsidR="00C50252" w:rsidRPr="00C50252">
              <w:rPr>
                <w:rFonts w:ascii="Calibri" w:hAnsi="Calibri" w:cs="Calibri"/>
                <w:sz w:val="18"/>
                <w:szCs w:val="20"/>
                <w:lang w:val="en-US"/>
              </w:rPr>
              <w:t>i</w:t>
            </w:r>
            <w:r w:rsidRPr="00C50252">
              <w:rPr>
                <w:rFonts w:ascii="Calibri" w:hAnsi="Calibri" w:cs="Calibri"/>
                <w:sz w:val="18"/>
                <w:szCs w:val="20"/>
                <w:lang w:val="en-US"/>
              </w:rPr>
              <w:t>sting data sources and performing quality control on that data as well to ensure that it is the highest quality data available. At times in th</w:t>
            </w:r>
            <w:r w:rsidR="00C50252" w:rsidRPr="00C50252">
              <w:rPr>
                <w:rFonts w:ascii="Calibri" w:hAnsi="Calibri" w:cs="Calibri"/>
                <w:sz w:val="18"/>
                <w:szCs w:val="20"/>
                <w:lang w:val="en-US"/>
              </w:rPr>
              <w:t>e</w:t>
            </w:r>
            <w:r w:rsidRPr="00C50252">
              <w:rPr>
                <w:rFonts w:ascii="Calibri" w:hAnsi="Calibri" w:cs="Calibri"/>
                <w:sz w:val="18"/>
                <w:szCs w:val="20"/>
                <w:lang w:val="en-US"/>
              </w:rPr>
              <w:t xml:space="preserve"> past, for example, with Childcare, EPI has assessed superior data sources that began collecting data and thus shifted to the higher quality data source. A change that was publicly reflected in the methodology. </w:t>
            </w:r>
            <w:r w:rsidR="009C4FF3" w:rsidRPr="00C50252">
              <w:rPr>
                <w:rFonts w:ascii="Calibri" w:hAnsi="Calibri" w:cs="Calibri"/>
                <w:sz w:val="18"/>
                <w:szCs w:val="20"/>
                <w:lang w:val="en-US"/>
              </w:rPr>
              <w:t>Thus,</w:t>
            </w:r>
            <w:r w:rsidRPr="00C50252">
              <w:rPr>
                <w:rFonts w:ascii="Calibri" w:hAnsi="Calibri" w:cs="Calibri"/>
                <w:sz w:val="18"/>
                <w:szCs w:val="20"/>
                <w:lang w:val="en-US"/>
              </w:rPr>
              <w:t xml:space="preserve"> inserting multiple layers of Quality assurance on the data we present. </w:t>
            </w:r>
          </w:p>
          <w:p w14:paraId="44F1F691" w14:textId="77777777" w:rsidR="004C69A4" w:rsidRPr="00C50252" w:rsidRDefault="004C69A4" w:rsidP="004C69A4">
            <w:pPr>
              <w:rPr>
                <w:rFonts w:ascii="Calibri" w:hAnsi="Calibri" w:cs="Calibri"/>
                <w:sz w:val="18"/>
                <w:szCs w:val="20"/>
                <w:lang w:val="en-US"/>
              </w:rPr>
            </w:pPr>
          </w:p>
        </w:tc>
      </w:tr>
    </w:tbl>
    <w:p w14:paraId="6668ED53" w14:textId="77777777" w:rsidR="007663EF" w:rsidRPr="00C50252" w:rsidRDefault="007663EF" w:rsidP="00256BD6">
      <w:pPr>
        <w:rPr>
          <w:b/>
          <w:lang w:val="en-US"/>
        </w:rPr>
      </w:pPr>
    </w:p>
    <w:sectPr w:rsidR="007663EF" w:rsidRPr="00C50252" w:rsidSect="006C284F">
      <w:headerReference w:type="default" r:id="rId13"/>
      <w:footerReference w:type="even" r:id="rId14"/>
      <w:footerReference w:type="default" r:id="rId15"/>
      <w:pgSz w:w="11900" w:h="16840"/>
      <w:pgMar w:top="1134" w:right="851" w:bottom="851"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9D438" w14:textId="77777777" w:rsidR="00CB167B" w:rsidRDefault="00CB167B" w:rsidP="00710B56">
      <w:r>
        <w:separator/>
      </w:r>
    </w:p>
  </w:endnote>
  <w:endnote w:type="continuationSeparator" w:id="0">
    <w:p w14:paraId="0E98E938" w14:textId="77777777" w:rsidR="00CB167B" w:rsidRDefault="00CB167B" w:rsidP="00710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2787379"/>
      <w:docPartObj>
        <w:docPartGallery w:val="Page Numbers (Bottom of Page)"/>
        <w:docPartUnique/>
      </w:docPartObj>
    </w:sdtPr>
    <w:sdtEndPr>
      <w:rPr>
        <w:rStyle w:val="PageNumber"/>
      </w:rPr>
    </w:sdtEndPr>
    <w:sdtContent>
      <w:p w14:paraId="57BE50C1" w14:textId="77777777" w:rsidR="00BF340B" w:rsidRDefault="00BF340B" w:rsidP="00B20E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2CE6F6" w14:textId="77777777" w:rsidR="00BF340B" w:rsidRDefault="00BF340B" w:rsidP="00BF34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9200267"/>
      <w:docPartObj>
        <w:docPartGallery w:val="Page Numbers (Bottom of Page)"/>
        <w:docPartUnique/>
      </w:docPartObj>
    </w:sdtPr>
    <w:sdtEndPr>
      <w:rPr>
        <w:rStyle w:val="PageNumber"/>
        <w:sz w:val="13"/>
      </w:rPr>
    </w:sdtEndPr>
    <w:sdtContent>
      <w:p w14:paraId="137992A3" w14:textId="77777777" w:rsidR="00BF340B" w:rsidRPr="006C284F" w:rsidRDefault="00BF340B" w:rsidP="00B20EF1">
        <w:pPr>
          <w:pStyle w:val="Footer"/>
          <w:framePr w:wrap="none" w:vAnchor="text" w:hAnchor="margin" w:xAlign="right" w:y="1"/>
          <w:rPr>
            <w:rStyle w:val="PageNumber"/>
            <w:sz w:val="16"/>
          </w:rPr>
        </w:pPr>
        <w:r w:rsidRPr="006C284F">
          <w:rPr>
            <w:rStyle w:val="PageNumber"/>
            <w:sz w:val="16"/>
          </w:rPr>
          <w:fldChar w:fldCharType="begin"/>
        </w:r>
        <w:r w:rsidRPr="006C284F">
          <w:rPr>
            <w:rStyle w:val="PageNumber"/>
            <w:sz w:val="16"/>
          </w:rPr>
          <w:instrText xml:space="preserve"> PAGE </w:instrText>
        </w:r>
        <w:r w:rsidRPr="006C284F">
          <w:rPr>
            <w:rStyle w:val="PageNumber"/>
            <w:sz w:val="16"/>
          </w:rPr>
          <w:fldChar w:fldCharType="separate"/>
        </w:r>
        <w:r w:rsidRPr="006C284F">
          <w:rPr>
            <w:rStyle w:val="PageNumber"/>
            <w:noProof/>
            <w:sz w:val="16"/>
          </w:rPr>
          <w:t>1</w:t>
        </w:r>
        <w:r w:rsidRPr="006C284F">
          <w:rPr>
            <w:rStyle w:val="PageNumber"/>
            <w:sz w:val="16"/>
          </w:rPr>
          <w:fldChar w:fldCharType="end"/>
        </w:r>
      </w:p>
    </w:sdtContent>
  </w:sdt>
  <w:p w14:paraId="39FB2765" w14:textId="77777777" w:rsidR="00BF340B" w:rsidRPr="006C284F" w:rsidRDefault="00BF340B" w:rsidP="00BF340B">
    <w:pPr>
      <w:pStyle w:val="Footer"/>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EE6AB" w14:textId="77777777" w:rsidR="00CB167B" w:rsidRDefault="00CB167B" w:rsidP="00710B56">
      <w:r>
        <w:separator/>
      </w:r>
    </w:p>
  </w:footnote>
  <w:footnote w:type="continuationSeparator" w:id="0">
    <w:p w14:paraId="70016263" w14:textId="77777777" w:rsidR="00CB167B" w:rsidRDefault="00CB167B" w:rsidP="00710B56">
      <w:r>
        <w:continuationSeparator/>
      </w:r>
    </w:p>
  </w:footnote>
  <w:footnote w:id="1">
    <w:p w14:paraId="703D60DF" w14:textId="77777777" w:rsidR="0075605A" w:rsidRPr="0075605A" w:rsidRDefault="0075605A">
      <w:pPr>
        <w:pStyle w:val="FootnoteText"/>
        <w:rPr>
          <w:sz w:val="16"/>
          <w:lang w:val="en-US"/>
        </w:rPr>
      </w:pPr>
      <w:r w:rsidRPr="0075605A">
        <w:rPr>
          <w:rStyle w:val="FootnoteReference"/>
          <w:sz w:val="16"/>
        </w:rPr>
        <w:footnoteRef/>
      </w:r>
      <w:r w:rsidRPr="0075605A">
        <w:rPr>
          <w:sz w:val="16"/>
          <w:lang w:val="en-US"/>
        </w:rPr>
        <w:t xml:space="preserve"> </w:t>
      </w:r>
      <w:r w:rsidR="00A817FE">
        <w:rPr>
          <w:sz w:val="16"/>
          <w:lang w:val="en-US"/>
        </w:rPr>
        <w:t>Publicly a</w:t>
      </w:r>
      <w:r w:rsidRPr="0075605A">
        <w:rPr>
          <w:sz w:val="16"/>
          <w:lang w:val="en-US"/>
        </w:rPr>
        <w:t>vailable the 30th of May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A5D3" w14:textId="77777777" w:rsidR="007663EF" w:rsidRDefault="007663EF" w:rsidP="00710B56">
    <w:pPr>
      <w:pStyle w:val="Header"/>
    </w:pPr>
    <w:r>
      <w:rPr>
        <w:noProof/>
      </w:rPr>
      <mc:AlternateContent>
        <mc:Choice Requires="wps">
          <w:drawing>
            <wp:anchor distT="0" distB="0" distL="114300" distR="114300" simplePos="0" relativeHeight="251659264" behindDoc="0" locked="0" layoutInCell="1" allowOverlap="1" wp14:anchorId="1C349036" wp14:editId="278D3BD7">
              <wp:simplePos x="0" y="0"/>
              <wp:positionH relativeFrom="column">
                <wp:posOffset>-895985</wp:posOffset>
              </wp:positionH>
              <wp:positionV relativeFrom="paragraph">
                <wp:posOffset>-450215</wp:posOffset>
              </wp:positionV>
              <wp:extent cx="8102600" cy="753533"/>
              <wp:effectExtent l="0" t="0" r="0" b="0"/>
              <wp:wrapNone/>
              <wp:docPr id="1" name="Rectángulo 1"/>
              <wp:cNvGraphicFramePr/>
              <a:graphic xmlns:a="http://schemas.openxmlformats.org/drawingml/2006/main">
                <a:graphicData uri="http://schemas.microsoft.com/office/word/2010/wordprocessingShape">
                  <wps:wsp>
                    <wps:cNvSpPr/>
                    <wps:spPr>
                      <a:xfrm>
                        <a:off x="0" y="0"/>
                        <a:ext cx="8102600" cy="753533"/>
                      </a:xfrm>
                      <a:prstGeom prst="rect">
                        <a:avLst/>
                      </a:prstGeom>
                      <a:solidFill>
                        <a:srgbClr val="00625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27578F" w14:textId="4E8F95E5" w:rsidR="00A52495" w:rsidRPr="00A52495" w:rsidRDefault="00A52495" w:rsidP="00A52495">
                          <w:pPr>
                            <w:pStyle w:val="Heading1"/>
                            <w:spacing w:before="120"/>
                            <w:rPr>
                              <w:sz w:val="28"/>
                              <w:szCs w:val="28"/>
                              <w:lang w:val="en-US"/>
                            </w:rPr>
                          </w:pPr>
                          <w:r w:rsidRPr="00A52495">
                            <w:rPr>
                              <w:sz w:val="40"/>
                              <w:szCs w:val="40"/>
                              <w:lang w:val="en-US"/>
                            </w:rPr>
                            <w:t>Recommended Living Wage Estimate Methodologi</w:t>
                          </w:r>
                          <w:r w:rsidRPr="006D767C">
                            <w:rPr>
                              <w:sz w:val="40"/>
                              <w:szCs w:val="40"/>
                              <w:lang w:val="en-US"/>
                            </w:rPr>
                            <w:t>es</w:t>
                          </w:r>
                          <w:r>
                            <w:rPr>
                              <w:sz w:val="36"/>
                              <w:szCs w:val="36"/>
                              <w:lang w:val="en-US"/>
                            </w:rPr>
                            <w:t xml:space="preserve">  </w:t>
                          </w:r>
                          <w:r w:rsidRPr="00710B56">
                            <w:rPr>
                              <w:noProof/>
                              <w:lang w:val="en-GB"/>
                            </w:rPr>
                            <w:drawing>
                              <wp:inline distT="0" distB="0" distL="0" distR="0" wp14:anchorId="3CD21173" wp14:editId="61F42C10">
                                <wp:extent cx="1209600" cy="446400"/>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09600" cy="446400"/>
                                        </a:xfrm>
                                        <a:prstGeom prst="rect">
                                          <a:avLst/>
                                        </a:prstGeom>
                                      </pic:spPr>
                                    </pic:pic>
                                  </a:graphicData>
                                </a:graphic>
                              </wp:inline>
                            </w:drawing>
                          </w:r>
                        </w:p>
                        <w:p w14:paraId="2CC3C2A1" w14:textId="0850DA79" w:rsidR="0042774D" w:rsidRPr="00710B56" w:rsidRDefault="0042774D" w:rsidP="00A52495">
                          <w:pPr>
                            <w:pStyle w:val="Heading1"/>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49036" id="Rectángulo 1" o:spid="_x0000_s1030" style="position:absolute;margin-left:-70.55pt;margin-top:-35.45pt;width:638pt;height:5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" fillcolor="#00625e" stroked="f" strokeweight="1pt">
              <v:textbox>
                <w:txbxContent>
                  <w:p w14:paraId="7C27578F" w14:textId="4E8F95E5" w:rsidR="00A52495" w:rsidRPr="00A52495" w:rsidRDefault="00A52495" w:rsidP="00A52495">
                    <w:pPr>
                      <w:pStyle w:val="Ttulo1"/>
                      <w:spacing w:before="120"/>
                      <w:rPr>
                        <w:sz w:val="28"/>
                        <w:szCs w:val="28"/>
                        <w:lang w:val="en-US"/>
                      </w:rPr>
                    </w:pPr>
                    <w:r w:rsidRPr="00A52495">
                      <w:rPr>
                        <w:sz w:val="40"/>
                        <w:szCs w:val="40"/>
                        <w:lang w:val="en-US"/>
                      </w:rPr>
                      <w:t>Recommended Living Wage Estimate Methodologi</w:t>
                    </w:r>
                    <w:r w:rsidRPr="006D767C">
                      <w:rPr>
                        <w:sz w:val="40"/>
                        <w:szCs w:val="40"/>
                        <w:lang w:val="en-US"/>
                      </w:rPr>
                      <w:t>es</w:t>
                    </w:r>
                    <w:r>
                      <w:rPr>
                        <w:sz w:val="36"/>
                        <w:szCs w:val="36"/>
                        <w:lang w:val="en-US"/>
                      </w:rPr>
                      <w:t xml:space="preserve">  </w:t>
                    </w:r>
                    <w:r w:rsidRPr="00710B56">
                      <w:rPr>
                        <w:noProof/>
                        <w:lang w:val="en-GB"/>
                      </w:rPr>
                      <w:drawing>
                        <wp:inline distT="0" distB="0" distL="0" distR="0" wp14:anchorId="3CD21173" wp14:editId="61F42C10">
                          <wp:extent cx="1209600" cy="446400"/>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209600" cy="446400"/>
                                  </a:xfrm>
                                  <a:prstGeom prst="rect">
                                    <a:avLst/>
                                  </a:prstGeom>
                                </pic:spPr>
                              </pic:pic>
                            </a:graphicData>
                          </a:graphic>
                        </wp:inline>
                      </w:drawing>
                    </w:r>
                  </w:p>
                  <w:p w14:paraId="2CC3C2A1" w14:textId="0850DA79" w:rsidR="0042774D" w:rsidRPr="00710B56" w:rsidRDefault="0042774D" w:rsidP="00A52495">
                    <w:pPr>
                      <w:pStyle w:val="Ttulo1"/>
                      <w:rPr>
                        <w:lang w:val="en-GB"/>
                      </w:rPr>
                    </w:pPr>
                  </w:p>
                </w:txbxContent>
              </v:textbox>
            </v:rect>
          </w:pict>
        </mc:Fallback>
      </mc:AlternateContent>
    </w:r>
  </w:p>
  <w:p w14:paraId="5AFD5D20" w14:textId="77777777" w:rsidR="007663EF" w:rsidRDefault="007663EF" w:rsidP="00710B56">
    <w:pPr>
      <w:pStyle w:val="Header"/>
    </w:pPr>
  </w:p>
  <w:p w14:paraId="44EA8DC9" w14:textId="77777777" w:rsidR="0042774D" w:rsidRDefault="0042774D" w:rsidP="00710B56">
    <w:pPr>
      <w:pStyle w:val="Header"/>
    </w:pPr>
  </w:p>
  <w:p w14:paraId="754E26D7" w14:textId="77777777" w:rsidR="007663EF" w:rsidRDefault="007663EF" w:rsidP="00710B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4D"/>
    <w:rsid w:val="000E09AB"/>
    <w:rsid w:val="000E6B04"/>
    <w:rsid w:val="000F245D"/>
    <w:rsid w:val="00115A48"/>
    <w:rsid w:val="00170424"/>
    <w:rsid w:val="001A2DAE"/>
    <w:rsid w:val="001A2DD4"/>
    <w:rsid w:val="001A76D7"/>
    <w:rsid w:val="00256BD6"/>
    <w:rsid w:val="00277306"/>
    <w:rsid w:val="00381235"/>
    <w:rsid w:val="00385C21"/>
    <w:rsid w:val="003B77B0"/>
    <w:rsid w:val="00402D98"/>
    <w:rsid w:val="00404812"/>
    <w:rsid w:val="00422191"/>
    <w:rsid w:val="0042774D"/>
    <w:rsid w:val="00455676"/>
    <w:rsid w:val="00456641"/>
    <w:rsid w:val="00496124"/>
    <w:rsid w:val="00497E50"/>
    <w:rsid w:val="004A46A5"/>
    <w:rsid w:val="004B2D71"/>
    <w:rsid w:val="004C69A4"/>
    <w:rsid w:val="004D47B6"/>
    <w:rsid w:val="00530662"/>
    <w:rsid w:val="005355E5"/>
    <w:rsid w:val="0059086C"/>
    <w:rsid w:val="005A4FE4"/>
    <w:rsid w:val="005B082C"/>
    <w:rsid w:val="005D5A99"/>
    <w:rsid w:val="005F26CE"/>
    <w:rsid w:val="006C284F"/>
    <w:rsid w:val="006D767C"/>
    <w:rsid w:val="00710B56"/>
    <w:rsid w:val="0075605A"/>
    <w:rsid w:val="00765818"/>
    <w:rsid w:val="007663EF"/>
    <w:rsid w:val="0078045E"/>
    <w:rsid w:val="008A301C"/>
    <w:rsid w:val="008F448C"/>
    <w:rsid w:val="008F6B62"/>
    <w:rsid w:val="0091342A"/>
    <w:rsid w:val="009552B8"/>
    <w:rsid w:val="00981782"/>
    <w:rsid w:val="009C4FF3"/>
    <w:rsid w:val="009D41D5"/>
    <w:rsid w:val="009E3EE8"/>
    <w:rsid w:val="00A506D0"/>
    <w:rsid w:val="00A52495"/>
    <w:rsid w:val="00A65EDE"/>
    <w:rsid w:val="00A817FE"/>
    <w:rsid w:val="00AD462F"/>
    <w:rsid w:val="00AF7AA7"/>
    <w:rsid w:val="00B25D9F"/>
    <w:rsid w:val="00B43BB7"/>
    <w:rsid w:val="00BF340B"/>
    <w:rsid w:val="00C2085D"/>
    <w:rsid w:val="00C462A7"/>
    <w:rsid w:val="00C50252"/>
    <w:rsid w:val="00C77CF8"/>
    <w:rsid w:val="00C92B65"/>
    <w:rsid w:val="00CB167B"/>
    <w:rsid w:val="00D00815"/>
    <w:rsid w:val="00D21B1D"/>
    <w:rsid w:val="00D449E9"/>
    <w:rsid w:val="00D96B80"/>
    <w:rsid w:val="00DA5703"/>
    <w:rsid w:val="00E1528D"/>
    <w:rsid w:val="00E35457"/>
    <w:rsid w:val="00E46E95"/>
    <w:rsid w:val="00EC430E"/>
    <w:rsid w:val="00F10FED"/>
    <w:rsid w:val="00F2530A"/>
    <w:rsid w:val="00F31D1F"/>
    <w:rsid w:val="00F41CC6"/>
    <w:rsid w:val="00FA0572"/>
    <w:rsid w:val="00FC5906"/>
    <w:rsid w:val="00FD507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887E0"/>
  <w15:chartTrackingRefBased/>
  <w15:docId w15:val="{858E050F-0369-B44A-AFEB-61F2BC67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B56"/>
    <w:pPr>
      <w:tabs>
        <w:tab w:val="left" w:pos="2333"/>
      </w:tabs>
    </w:pPr>
    <w:rPr>
      <w:sz w:val="20"/>
    </w:rPr>
  </w:style>
  <w:style w:type="paragraph" w:styleId="Heading1">
    <w:name w:val="heading 1"/>
    <w:basedOn w:val="Normal"/>
    <w:next w:val="Normal"/>
    <w:link w:val="Heading1Char"/>
    <w:uiPriority w:val="9"/>
    <w:qFormat/>
    <w:rsid w:val="00710B56"/>
    <w:pPr>
      <w:jc w:val="center"/>
      <w:outlineLvl w:val="0"/>
    </w:pPr>
    <w:rPr>
      <w:sz w:val="60"/>
      <w:szCs w:val="60"/>
    </w:rPr>
  </w:style>
  <w:style w:type="paragraph" w:styleId="Heading2">
    <w:name w:val="heading 2"/>
    <w:basedOn w:val="Normal"/>
    <w:next w:val="Normal"/>
    <w:link w:val="Heading2Char"/>
    <w:uiPriority w:val="9"/>
    <w:unhideWhenUsed/>
    <w:qFormat/>
    <w:rsid w:val="00710B56"/>
    <w:pPr>
      <w:jc w:val="center"/>
      <w:outlineLvl w:val="1"/>
    </w:pPr>
    <w:rPr>
      <w:sz w:val="36"/>
      <w:lang w:eastAsia="es-ES_tradnl"/>
    </w:rPr>
  </w:style>
  <w:style w:type="paragraph" w:styleId="Heading3">
    <w:name w:val="heading 3"/>
    <w:basedOn w:val="Normal"/>
    <w:next w:val="Normal"/>
    <w:link w:val="Heading3Char"/>
    <w:uiPriority w:val="9"/>
    <w:unhideWhenUsed/>
    <w:qFormat/>
    <w:rsid w:val="00710B56"/>
    <w:pPr>
      <w:outlineLvl w:val="2"/>
    </w:pPr>
    <w:rPr>
      <w:b/>
      <w:sz w:val="21"/>
      <w:lang w:val="en-GB"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toldata">
    <w:name w:val="Subtítol data"/>
    <w:basedOn w:val="Heading1"/>
    <w:qFormat/>
    <w:rsid w:val="00981782"/>
    <w:rPr>
      <w:rFonts w:ascii="Times New Roman" w:eastAsia="Times New Roman" w:hAnsi="Times New Roman" w:cs="Times New Roman"/>
      <w:bCs/>
      <w:sz w:val="24"/>
      <w:szCs w:val="28"/>
      <w:lang w:val="en-GB"/>
    </w:rPr>
  </w:style>
  <w:style w:type="character" w:customStyle="1" w:styleId="Heading1Char">
    <w:name w:val="Heading 1 Char"/>
    <w:basedOn w:val="DefaultParagraphFont"/>
    <w:link w:val="Heading1"/>
    <w:uiPriority w:val="9"/>
    <w:rsid w:val="00710B56"/>
    <w:rPr>
      <w:sz w:val="60"/>
      <w:szCs w:val="60"/>
    </w:rPr>
  </w:style>
  <w:style w:type="paragraph" w:styleId="Header">
    <w:name w:val="header"/>
    <w:basedOn w:val="Normal"/>
    <w:link w:val="HeaderChar"/>
    <w:uiPriority w:val="99"/>
    <w:unhideWhenUsed/>
    <w:rsid w:val="0042774D"/>
    <w:pPr>
      <w:tabs>
        <w:tab w:val="center" w:pos="4419"/>
        <w:tab w:val="right" w:pos="8838"/>
      </w:tabs>
    </w:pPr>
  </w:style>
  <w:style w:type="character" w:customStyle="1" w:styleId="HeaderChar">
    <w:name w:val="Header Char"/>
    <w:basedOn w:val="DefaultParagraphFont"/>
    <w:link w:val="Header"/>
    <w:uiPriority w:val="99"/>
    <w:rsid w:val="0042774D"/>
  </w:style>
  <w:style w:type="paragraph" w:styleId="Footer">
    <w:name w:val="footer"/>
    <w:basedOn w:val="Normal"/>
    <w:link w:val="FooterChar"/>
    <w:uiPriority w:val="99"/>
    <w:unhideWhenUsed/>
    <w:rsid w:val="0042774D"/>
    <w:pPr>
      <w:tabs>
        <w:tab w:val="center" w:pos="4419"/>
        <w:tab w:val="right" w:pos="8838"/>
      </w:tabs>
    </w:pPr>
  </w:style>
  <w:style w:type="character" w:customStyle="1" w:styleId="FooterChar">
    <w:name w:val="Footer Char"/>
    <w:basedOn w:val="DefaultParagraphFont"/>
    <w:link w:val="Footer"/>
    <w:uiPriority w:val="99"/>
    <w:rsid w:val="0042774D"/>
  </w:style>
  <w:style w:type="character" w:customStyle="1" w:styleId="Heading2Char">
    <w:name w:val="Heading 2 Char"/>
    <w:basedOn w:val="DefaultParagraphFont"/>
    <w:link w:val="Heading2"/>
    <w:uiPriority w:val="9"/>
    <w:rsid w:val="00710B56"/>
    <w:rPr>
      <w:sz w:val="36"/>
      <w:lang w:eastAsia="es-ES_tradnl"/>
    </w:rPr>
  </w:style>
  <w:style w:type="character" w:customStyle="1" w:styleId="Heading3Char">
    <w:name w:val="Heading 3 Char"/>
    <w:basedOn w:val="DefaultParagraphFont"/>
    <w:link w:val="Heading3"/>
    <w:uiPriority w:val="9"/>
    <w:rsid w:val="00710B56"/>
    <w:rPr>
      <w:b/>
      <w:sz w:val="21"/>
      <w:lang w:val="en-GB" w:eastAsia="es-ES_tradnl"/>
    </w:rPr>
  </w:style>
  <w:style w:type="character" w:styleId="Hyperlink">
    <w:name w:val="Hyperlink"/>
    <w:basedOn w:val="DefaultParagraphFont"/>
    <w:uiPriority w:val="99"/>
    <w:unhideWhenUsed/>
    <w:rsid w:val="004A46A5"/>
    <w:rPr>
      <w:color w:val="0563C1" w:themeColor="hyperlink"/>
      <w:u w:val="single"/>
    </w:rPr>
  </w:style>
  <w:style w:type="character" w:styleId="UnresolvedMention">
    <w:name w:val="Unresolved Mention"/>
    <w:basedOn w:val="DefaultParagraphFont"/>
    <w:uiPriority w:val="99"/>
    <w:semiHidden/>
    <w:unhideWhenUsed/>
    <w:rsid w:val="004A46A5"/>
    <w:rPr>
      <w:color w:val="605E5C"/>
      <w:shd w:val="clear" w:color="auto" w:fill="E1DFDD"/>
    </w:rPr>
  </w:style>
  <w:style w:type="table" w:styleId="TableGrid">
    <w:name w:val="Table Grid"/>
    <w:basedOn w:val="TableNormal"/>
    <w:uiPriority w:val="39"/>
    <w:rsid w:val="00766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F340B"/>
    <w:rPr>
      <w:color w:val="954F72" w:themeColor="followedHyperlink"/>
      <w:u w:val="single"/>
    </w:rPr>
  </w:style>
  <w:style w:type="character" w:styleId="PageNumber">
    <w:name w:val="page number"/>
    <w:basedOn w:val="DefaultParagraphFont"/>
    <w:uiPriority w:val="99"/>
    <w:semiHidden/>
    <w:unhideWhenUsed/>
    <w:rsid w:val="00BF340B"/>
  </w:style>
  <w:style w:type="paragraph" w:styleId="FootnoteText">
    <w:name w:val="footnote text"/>
    <w:basedOn w:val="Normal"/>
    <w:link w:val="FootnoteTextChar"/>
    <w:uiPriority w:val="99"/>
    <w:semiHidden/>
    <w:unhideWhenUsed/>
    <w:rsid w:val="0075605A"/>
    <w:rPr>
      <w:szCs w:val="20"/>
    </w:rPr>
  </w:style>
  <w:style w:type="character" w:customStyle="1" w:styleId="FootnoteTextChar">
    <w:name w:val="Footnote Text Char"/>
    <w:basedOn w:val="DefaultParagraphFont"/>
    <w:link w:val="FootnoteText"/>
    <w:uiPriority w:val="99"/>
    <w:semiHidden/>
    <w:rsid w:val="0075605A"/>
    <w:rPr>
      <w:sz w:val="20"/>
      <w:szCs w:val="20"/>
    </w:rPr>
  </w:style>
  <w:style w:type="character" w:styleId="FootnoteReference">
    <w:name w:val="footnote reference"/>
    <w:basedOn w:val="DefaultParagraphFont"/>
    <w:uiPriority w:val="99"/>
    <w:semiHidden/>
    <w:unhideWhenUsed/>
    <w:rsid w:val="0075605A"/>
    <w:rPr>
      <w:vertAlign w:val="superscript"/>
    </w:rPr>
  </w:style>
  <w:style w:type="paragraph" w:styleId="NoSpacing">
    <w:name w:val="No Spacing"/>
    <w:basedOn w:val="Normal"/>
    <w:uiPriority w:val="1"/>
    <w:qFormat/>
    <w:rsid w:val="00EC430E"/>
    <w:pPr>
      <w:spacing w:before="60" w:after="60"/>
    </w:pPr>
    <w:rPr>
      <w:rFonts w:cs="Arial"/>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76464">
      <w:bodyDiv w:val="1"/>
      <w:marLeft w:val="0"/>
      <w:marRight w:val="0"/>
      <w:marTop w:val="0"/>
      <w:marBottom w:val="0"/>
      <w:divBdr>
        <w:top w:val="none" w:sz="0" w:space="0" w:color="auto"/>
        <w:left w:val="none" w:sz="0" w:space="0" w:color="auto"/>
        <w:bottom w:val="none" w:sz="0" w:space="0" w:color="auto"/>
        <w:right w:val="none" w:sz="0" w:space="0" w:color="auto"/>
      </w:divBdr>
    </w:div>
    <w:div w:id="392432054">
      <w:bodyDiv w:val="1"/>
      <w:marLeft w:val="0"/>
      <w:marRight w:val="0"/>
      <w:marTop w:val="0"/>
      <w:marBottom w:val="0"/>
      <w:divBdr>
        <w:top w:val="none" w:sz="0" w:space="0" w:color="auto"/>
        <w:left w:val="none" w:sz="0" w:space="0" w:color="auto"/>
        <w:bottom w:val="none" w:sz="0" w:space="0" w:color="auto"/>
        <w:right w:val="none" w:sz="0" w:space="0" w:color="auto"/>
      </w:divBdr>
    </w:div>
    <w:div w:id="489248139">
      <w:bodyDiv w:val="1"/>
      <w:marLeft w:val="0"/>
      <w:marRight w:val="0"/>
      <w:marTop w:val="0"/>
      <w:marBottom w:val="0"/>
      <w:divBdr>
        <w:top w:val="none" w:sz="0" w:space="0" w:color="auto"/>
        <w:left w:val="none" w:sz="0" w:space="0" w:color="auto"/>
        <w:bottom w:val="none" w:sz="0" w:space="0" w:color="auto"/>
        <w:right w:val="none" w:sz="0" w:space="0" w:color="auto"/>
      </w:divBdr>
    </w:div>
    <w:div w:id="655183333">
      <w:bodyDiv w:val="1"/>
      <w:marLeft w:val="0"/>
      <w:marRight w:val="0"/>
      <w:marTop w:val="0"/>
      <w:marBottom w:val="0"/>
      <w:divBdr>
        <w:top w:val="none" w:sz="0" w:space="0" w:color="auto"/>
        <w:left w:val="none" w:sz="0" w:space="0" w:color="auto"/>
        <w:bottom w:val="none" w:sz="0" w:space="0" w:color="auto"/>
        <w:right w:val="none" w:sz="0" w:space="0" w:color="auto"/>
      </w:divBdr>
    </w:div>
    <w:div w:id="1003553144">
      <w:bodyDiv w:val="1"/>
      <w:marLeft w:val="0"/>
      <w:marRight w:val="0"/>
      <w:marTop w:val="0"/>
      <w:marBottom w:val="0"/>
      <w:divBdr>
        <w:top w:val="none" w:sz="0" w:space="0" w:color="auto"/>
        <w:left w:val="none" w:sz="0" w:space="0" w:color="auto"/>
        <w:bottom w:val="none" w:sz="0" w:space="0" w:color="auto"/>
        <w:right w:val="none" w:sz="0" w:space="0" w:color="auto"/>
      </w:divBdr>
    </w:div>
    <w:div w:id="1369188102">
      <w:bodyDiv w:val="1"/>
      <w:marLeft w:val="0"/>
      <w:marRight w:val="0"/>
      <w:marTop w:val="0"/>
      <w:marBottom w:val="0"/>
      <w:divBdr>
        <w:top w:val="none" w:sz="0" w:space="0" w:color="auto"/>
        <w:left w:val="none" w:sz="0" w:space="0" w:color="auto"/>
        <w:bottom w:val="none" w:sz="0" w:space="0" w:color="auto"/>
        <w:right w:val="none" w:sz="0" w:space="0" w:color="auto"/>
      </w:divBdr>
    </w:div>
    <w:div w:id="1533495431">
      <w:bodyDiv w:val="1"/>
      <w:marLeft w:val="0"/>
      <w:marRight w:val="0"/>
      <w:marTop w:val="0"/>
      <w:marBottom w:val="0"/>
      <w:divBdr>
        <w:top w:val="none" w:sz="0" w:space="0" w:color="auto"/>
        <w:left w:val="none" w:sz="0" w:space="0" w:color="auto"/>
        <w:bottom w:val="none" w:sz="0" w:space="0" w:color="auto"/>
        <w:right w:val="none" w:sz="0" w:space="0" w:color="auto"/>
      </w:divBdr>
    </w:div>
    <w:div w:id="1624842165">
      <w:bodyDiv w:val="1"/>
      <w:marLeft w:val="0"/>
      <w:marRight w:val="0"/>
      <w:marTop w:val="0"/>
      <w:marBottom w:val="0"/>
      <w:divBdr>
        <w:top w:val="none" w:sz="0" w:space="0" w:color="auto"/>
        <w:left w:val="none" w:sz="0" w:space="0" w:color="auto"/>
        <w:bottom w:val="none" w:sz="0" w:space="0" w:color="auto"/>
        <w:right w:val="none" w:sz="0" w:space="0" w:color="auto"/>
      </w:divBdr>
    </w:div>
    <w:div w:id="1645114892">
      <w:bodyDiv w:val="1"/>
      <w:marLeft w:val="0"/>
      <w:marRight w:val="0"/>
      <w:marTop w:val="0"/>
      <w:marBottom w:val="0"/>
      <w:divBdr>
        <w:top w:val="none" w:sz="0" w:space="0" w:color="auto"/>
        <w:left w:val="none" w:sz="0" w:space="0" w:color="auto"/>
        <w:bottom w:val="none" w:sz="0" w:space="0" w:color="auto"/>
        <w:right w:val="none" w:sz="0" w:space="0" w:color="auto"/>
      </w:divBdr>
    </w:div>
    <w:div w:id="1684014469">
      <w:bodyDiv w:val="1"/>
      <w:marLeft w:val="0"/>
      <w:marRight w:val="0"/>
      <w:marTop w:val="0"/>
      <w:marBottom w:val="0"/>
      <w:divBdr>
        <w:top w:val="none" w:sz="0" w:space="0" w:color="auto"/>
        <w:left w:val="none" w:sz="0" w:space="0" w:color="auto"/>
        <w:bottom w:val="none" w:sz="0" w:space="0" w:color="auto"/>
        <w:right w:val="none" w:sz="0" w:space="0" w:color="auto"/>
      </w:divBdr>
    </w:div>
    <w:div w:id="1894540045">
      <w:bodyDiv w:val="1"/>
      <w:marLeft w:val="0"/>
      <w:marRight w:val="0"/>
      <w:marTop w:val="0"/>
      <w:marBottom w:val="0"/>
      <w:divBdr>
        <w:top w:val="none" w:sz="0" w:space="0" w:color="auto"/>
        <w:left w:val="none" w:sz="0" w:space="0" w:color="auto"/>
        <w:bottom w:val="none" w:sz="0" w:space="0" w:color="auto"/>
        <w:right w:val="none" w:sz="0" w:space="0" w:color="auto"/>
      </w:divBdr>
    </w:div>
    <w:div w:id="1968268047">
      <w:bodyDiv w:val="1"/>
      <w:marLeft w:val="0"/>
      <w:marRight w:val="0"/>
      <w:marTop w:val="0"/>
      <w:marBottom w:val="0"/>
      <w:divBdr>
        <w:top w:val="none" w:sz="0" w:space="0" w:color="auto"/>
        <w:left w:val="none" w:sz="0" w:space="0" w:color="auto"/>
        <w:bottom w:val="none" w:sz="0" w:space="0" w:color="auto"/>
        <w:right w:val="none" w:sz="0" w:space="0" w:color="auto"/>
      </w:divBdr>
    </w:div>
    <w:div w:id="206891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ingwageforus.org/wp-content/uploads/2021/06/2025-LW4US-Total-Remuneration-Assessment-Methodology.pdf"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ivingwageforus.org/contact-us/" TargetMode="External"/><Relationship Id="rId12" Type="http://schemas.openxmlformats.org/officeDocument/2006/relationships/hyperlink" Target="https://livingwageforus.org/wp-content/uploads/2025/04/LW4US-Methodology.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epi.org/about/funder-acknowledgments-and-disclosure-principle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nber.org/research/data/taxsim" TargetMode="External"/><Relationship Id="rId4" Type="http://schemas.openxmlformats.org/officeDocument/2006/relationships/footnotes" Target="footnotes.xml"/><Relationship Id="rId9" Type="http://schemas.openxmlformats.org/officeDocument/2006/relationships/hyperlink" Target="https://livingwageforus.org/get-certifie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2654</Words>
  <Characters>15134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ASC</Company>
  <LinksUpToDate>false</LinksUpToDate>
  <CharactersWithSpaces>17753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Buxaderas</dc:creator>
  <cp:keywords/>
  <dc:description/>
  <cp:lastModifiedBy>Nicola Swann</cp:lastModifiedBy>
  <cp:revision>2</cp:revision>
  <cp:lastPrinted>2025-06-10T16:20:00Z</cp:lastPrinted>
  <dcterms:created xsi:type="dcterms:W3CDTF">2026-02-02T14:09:00Z</dcterms:created>
  <dcterms:modified xsi:type="dcterms:W3CDTF">2026-02-02T14:09:00Z</dcterms:modified>
</cp:coreProperties>
</file>