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5B8B" w14:textId="77777777" w:rsidR="00710B56" w:rsidRPr="004E093A" w:rsidRDefault="008F448C" w:rsidP="004E093A">
      <w:pPr>
        <w:rPr>
          <w:b/>
        </w:rPr>
      </w:pPr>
      <w:r w:rsidRPr="004E093A">
        <w:rPr>
          <w:b/>
          <w:noProof/>
        </w:rPr>
        <mc:AlternateContent>
          <mc:Choice Requires="wps">
            <w:drawing>
              <wp:anchor distT="0" distB="0" distL="114300" distR="114300" simplePos="0" relativeHeight="251658242" behindDoc="0" locked="0" layoutInCell="1" allowOverlap="1" wp14:anchorId="14862771" wp14:editId="79A3D6F7">
                <wp:simplePos x="0" y="0"/>
                <wp:positionH relativeFrom="column">
                  <wp:posOffset>930910</wp:posOffset>
                </wp:positionH>
                <wp:positionV relativeFrom="paragraph">
                  <wp:posOffset>-680266</wp:posOffset>
                </wp:positionV>
                <wp:extent cx="4368800" cy="397933"/>
                <wp:effectExtent l="0" t="0" r="0" b="0"/>
                <wp:wrapNone/>
                <wp:docPr id="2" name="Rectángulo redondeado 2"/>
                <wp:cNvGraphicFramePr/>
                <a:graphic xmlns:a="http://schemas.openxmlformats.org/drawingml/2006/main">
                  <a:graphicData uri="http://schemas.microsoft.com/office/word/2010/wordprocessingShape">
                    <wps:wsp>
                      <wps:cNvSpPr/>
                      <wps:spPr>
                        <a:xfrm>
                          <a:off x="0" y="0"/>
                          <a:ext cx="4368800" cy="397933"/>
                        </a:xfrm>
                        <a:prstGeom prst="roundRect">
                          <a:avLst/>
                        </a:prstGeom>
                        <a:solidFill>
                          <a:srgbClr val="FF5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636F0" w14:textId="2FE216B7" w:rsidR="008F448C" w:rsidRPr="007663EF" w:rsidRDefault="00801583" w:rsidP="004E093A">
                            <w:pPr>
                              <w:pStyle w:val="Heading2"/>
                            </w:pPr>
                            <w:r>
                              <w:t xml:space="preserve">ARI </w:t>
                            </w:r>
                            <w:r w:rsidR="00457569">
                              <w:t>Reference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62771" id="Rectángulo redondeado 2" o:spid="_x0000_s1026" style="position:absolute;margin-left:73.3pt;margin-top:-53.55pt;width:344pt;height:3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" fillcolor="#ff5d00" stroked="f" strokeweight="1pt">
                <v:stroke joinstyle="miter"/>
                <v:textbox>
                  <w:txbxContent>
                    <w:p w14:paraId="61A636F0" w14:textId="2FE216B7" w:rsidR="008F448C" w:rsidRPr="007663EF" w:rsidRDefault="00801583" w:rsidP="004E093A">
                      <w:pPr>
                        <w:pStyle w:val="Ttulo2"/>
                      </w:pPr>
                      <w:r>
                        <w:t xml:space="preserve">ARI </w:t>
                      </w:r>
                      <w:r w:rsidR="00457569">
                        <w:t>Reference Value</w:t>
                      </w:r>
                    </w:p>
                  </w:txbxContent>
                </v:textbox>
              </v:roundrect>
            </w:pict>
          </mc:Fallback>
        </mc:AlternateContent>
      </w:r>
      <w:r w:rsidR="00710B56" w:rsidRPr="004E093A">
        <w:rPr>
          <w:b/>
        </w:rPr>
        <w:t>What is the Anker Research Institute?</w:t>
      </w:r>
    </w:p>
    <w:p w14:paraId="6964DDB4" w14:textId="392C38A1" w:rsidR="00457569" w:rsidRPr="00457569" w:rsidRDefault="00457569" w:rsidP="00355DA2">
      <w:pPr>
        <w:jc w:val="both"/>
        <w:rPr>
          <w:lang w:val="en-US"/>
        </w:rPr>
      </w:pPr>
      <w:r w:rsidRPr="00457569">
        <w:rPr>
          <w:lang w:val="en-US"/>
        </w:rPr>
        <w:t xml:space="preserve">The Anker Research Institute (ARI), which estimates </w:t>
      </w:r>
      <w:r w:rsidR="007F68CF">
        <w:rPr>
          <w:lang w:val="en-US"/>
        </w:rPr>
        <w:t>ARI</w:t>
      </w:r>
      <w:r w:rsidR="007F68CF" w:rsidRPr="00457569">
        <w:rPr>
          <w:lang w:val="en-US"/>
        </w:rPr>
        <w:t xml:space="preserve"> </w:t>
      </w:r>
      <w:r w:rsidRPr="00457569">
        <w:rPr>
          <w:lang w:val="en-US"/>
        </w:rPr>
        <w:t xml:space="preserve">Reference Values, is </w:t>
      </w:r>
      <w:r w:rsidR="00E85541" w:rsidRPr="00E85541">
        <w:rPr>
          <w:lang w:val="en-US"/>
        </w:rPr>
        <w:t>a global research initiative operating under the fiscal sponsorship of Social Accountability International (SAI)</w:t>
      </w:r>
      <w:r w:rsidR="0095719B">
        <w:rPr>
          <w:lang w:val="en-US"/>
        </w:rPr>
        <w:t xml:space="preserve"> and</w:t>
      </w:r>
      <w:r w:rsidR="00E85541" w:rsidRPr="00E85541">
        <w:rPr>
          <w:lang w:val="en-US"/>
        </w:rPr>
        <w:t xml:space="preserve"> is widely recognized for having developed the Anker Methodology® for estimating living incomes and living wages</w:t>
      </w:r>
      <w:r w:rsidR="000E011B">
        <w:rPr>
          <w:lang w:val="en-US"/>
        </w:rPr>
        <w:t xml:space="preserve">. </w:t>
      </w:r>
      <w:r w:rsidR="00A51BBB" w:rsidRPr="00A51BBB">
        <w:rPr>
          <w:lang w:val="en-US"/>
        </w:rPr>
        <w:t>ARI’s mission is to engage with and disseminates high-quality research, analysis, and training related to living wages and living incomes based on the Anker Methodology® to inform and influence businesses, empower workers, and shape public policy, thereby helping to improve quality of life and promote sustainable livelihoods for workers and their families everywhere</w:t>
      </w:r>
      <w:r w:rsidR="00A51BBB">
        <w:rPr>
          <w:lang w:val="en-US"/>
        </w:rPr>
        <w:t xml:space="preserve">. </w:t>
      </w:r>
      <w:r w:rsidR="00473E2B">
        <w:rPr>
          <w:lang w:val="en-US"/>
        </w:rPr>
        <w:t xml:space="preserve">ARI is a founding member of </w:t>
      </w:r>
      <w:r w:rsidRPr="00457569">
        <w:rPr>
          <w:lang w:val="en-US"/>
        </w:rPr>
        <w:t xml:space="preserve">the Global Living Wage Coalition (GLWC), a unique knowledge-action partnership working to enable collaborative action to achieve a decent standard of living for working people and their families worldwide. Each </w:t>
      </w:r>
      <w:r w:rsidR="00582DD5">
        <w:rPr>
          <w:lang w:val="en-US"/>
        </w:rPr>
        <w:t xml:space="preserve">ARI </w:t>
      </w:r>
      <w:r w:rsidRPr="00457569">
        <w:rPr>
          <w:lang w:val="en-US"/>
        </w:rPr>
        <w:t xml:space="preserve">Reference Value Report includes a living wage estimate, a wealth of contextual information, explanations, comparisons to other wage indicators to help evaluate risk and gaps to living wage. </w:t>
      </w:r>
      <w:r w:rsidR="00C65832">
        <w:rPr>
          <w:lang w:val="en-US"/>
        </w:rPr>
        <w:t xml:space="preserve">ARI </w:t>
      </w:r>
      <w:r w:rsidRPr="00457569">
        <w:rPr>
          <w:lang w:val="en-US"/>
        </w:rPr>
        <w:t xml:space="preserve">Reference Values are fully consistent and compatible with </w:t>
      </w:r>
      <w:r w:rsidR="00C65832">
        <w:rPr>
          <w:lang w:val="en-US"/>
        </w:rPr>
        <w:t>ARI</w:t>
      </w:r>
      <w:r w:rsidR="00C65832" w:rsidRPr="00457569">
        <w:rPr>
          <w:lang w:val="en-US"/>
        </w:rPr>
        <w:t xml:space="preserve"> </w:t>
      </w:r>
      <w:r w:rsidRPr="00457569">
        <w:rPr>
          <w:lang w:val="en-US"/>
        </w:rPr>
        <w:t>Anker Methodology</w:t>
      </w:r>
      <w:r w:rsidR="00C65832" w:rsidRPr="00A51BBB">
        <w:rPr>
          <w:lang w:val="en-US"/>
        </w:rPr>
        <w:t>®</w:t>
      </w:r>
      <w:r w:rsidR="007E330D">
        <w:rPr>
          <w:lang w:val="en-US"/>
        </w:rPr>
        <w:t xml:space="preserve"> Benchmarks</w:t>
      </w:r>
      <w:r w:rsidR="007E330D" w:rsidRPr="00457569">
        <w:rPr>
          <w:lang w:val="en-US"/>
        </w:rPr>
        <w:t xml:space="preserve"> </w:t>
      </w:r>
      <w:r w:rsidRPr="00457569">
        <w:rPr>
          <w:lang w:val="en-US"/>
        </w:rPr>
        <w:t xml:space="preserve">and living wage estimates. </w:t>
      </w:r>
    </w:p>
    <w:p w14:paraId="5D9A261E" w14:textId="3CCCDFFB" w:rsidR="00710B56" w:rsidRDefault="00710B56" w:rsidP="00793B1A">
      <w:pPr>
        <w:tabs>
          <w:tab w:val="clear" w:pos="2333"/>
          <w:tab w:val="left" w:pos="5773"/>
        </w:tabs>
        <w:jc w:val="both"/>
      </w:pPr>
      <w:r w:rsidRPr="00710B56">
        <w:t xml:space="preserve"> </w:t>
      </w:r>
      <w:r w:rsidR="00793B1A">
        <w:tab/>
      </w:r>
    </w:p>
    <w:p w14:paraId="7DB54408" w14:textId="40C309F0" w:rsidR="00710B56" w:rsidRPr="007663EF" w:rsidRDefault="00710B56" w:rsidP="004E093A">
      <w:r w:rsidRPr="004E093A">
        <w:rPr>
          <w:b/>
        </w:rPr>
        <w:t>Number of estimates</w:t>
      </w:r>
      <w:r w:rsidR="0075605A" w:rsidRPr="004E093A">
        <w:rPr>
          <w:rStyle w:val="FootnoteReference"/>
          <w:b/>
        </w:rPr>
        <w:footnoteReference w:id="2"/>
      </w:r>
      <w:r w:rsidRPr="004E093A">
        <w:rPr>
          <w:b/>
        </w:rPr>
        <w:t>:</w:t>
      </w:r>
      <w:r>
        <w:tab/>
      </w:r>
      <w:r w:rsidR="00E45BAB">
        <w:t>48</w:t>
      </w:r>
    </w:p>
    <w:p w14:paraId="2DFFDFC4" w14:textId="77777777" w:rsidR="00710B56" w:rsidRDefault="00BF340B" w:rsidP="004E093A">
      <w:r w:rsidRPr="004E093A">
        <w:rPr>
          <w:b/>
          <w:noProof/>
        </w:rPr>
        <w:drawing>
          <wp:anchor distT="0" distB="0" distL="114300" distR="114300" simplePos="0" relativeHeight="251658241" behindDoc="0" locked="0" layoutInCell="1" allowOverlap="1" wp14:anchorId="1D7AB56C" wp14:editId="0DD79E3D">
            <wp:simplePos x="0" y="0"/>
            <wp:positionH relativeFrom="column">
              <wp:posOffset>5531485</wp:posOffset>
            </wp:positionH>
            <wp:positionV relativeFrom="paragraph">
              <wp:posOffset>73025</wp:posOffset>
            </wp:positionV>
            <wp:extent cx="932688" cy="722376"/>
            <wp:effectExtent l="0" t="0" r="0" b="0"/>
            <wp:wrapNone/>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n 27"/>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932688" cy="722376"/>
                    </a:xfrm>
                    <a:prstGeom prst="rect">
                      <a:avLst/>
                    </a:prstGeom>
                  </pic:spPr>
                </pic:pic>
              </a:graphicData>
            </a:graphic>
            <wp14:sizeRelH relativeFrom="page">
              <wp14:pctWidth>0</wp14:pctWidth>
            </wp14:sizeRelH>
            <wp14:sizeRelV relativeFrom="page">
              <wp14:pctHeight>0</wp14:pctHeight>
            </wp14:sizeRelV>
          </wp:anchor>
        </w:drawing>
      </w:r>
      <w:r w:rsidR="00710B56" w:rsidRPr="004E093A">
        <w:rPr>
          <w:b/>
        </w:rPr>
        <w:t>Availability of estimates:</w:t>
      </w:r>
      <w:r w:rsidR="00710B56" w:rsidRPr="00710B56">
        <w:t xml:space="preserve"> </w:t>
      </w:r>
      <w:r w:rsidR="00710B56">
        <w:tab/>
      </w:r>
      <w:r w:rsidR="00710B56" w:rsidRPr="00710B56">
        <w:t>Public</w:t>
      </w:r>
      <w:r w:rsidR="00710B56">
        <w:t>ly available for free</w:t>
      </w:r>
    </w:p>
    <w:p w14:paraId="4C383B98" w14:textId="77777777" w:rsidR="00BF340B" w:rsidRDefault="00EC430E" w:rsidP="004E093A">
      <w:r>
        <w:rPr>
          <w:noProof/>
        </w:rPr>
        <mc:AlternateContent>
          <mc:Choice Requires="wps">
            <w:drawing>
              <wp:anchor distT="0" distB="0" distL="114300" distR="114300" simplePos="0" relativeHeight="251658243" behindDoc="0" locked="0" layoutInCell="1" allowOverlap="1" wp14:anchorId="08C630CA" wp14:editId="4585E5C7">
                <wp:simplePos x="0" y="0"/>
                <wp:positionH relativeFrom="column">
                  <wp:posOffset>1777577</wp:posOffset>
                </wp:positionH>
                <wp:positionV relativeFrom="paragraph">
                  <wp:posOffset>83185</wp:posOffset>
                </wp:positionV>
                <wp:extent cx="1794510" cy="353060"/>
                <wp:effectExtent l="0" t="0" r="0" b="2540"/>
                <wp:wrapNone/>
                <wp:docPr id="34" name="Rectángulo redondeado 34">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79451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8D2E5" w14:textId="77777777" w:rsidR="00EC430E" w:rsidRPr="00BF340B" w:rsidRDefault="00EC430E" w:rsidP="00A96636">
                            <w:pPr>
                              <w:jc w:val="center"/>
                            </w:pPr>
                            <w:r w:rsidRPr="00BF340B">
                              <w:t>Acce</w:t>
                            </w:r>
                            <w:r>
                              <w:t>s</w:t>
                            </w:r>
                            <w:r w:rsidRPr="00BF340B">
                              <w:t xml:space="preserve">s to the </w:t>
                            </w:r>
                            <w:r>
                              <w:t>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630CA" id="Rectángulo redondeado 34" o:spid="_x0000_s1027" href="https://www.ankerresearchinstitute.org/working-papers/reference-value" style="position:absolute;margin-left:139.95pt;margin-top:6.55pt;width:141.3pt;height:27.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" o:button="t" fillcolor="#46d985" stroked="f" strokeweight="1pt">
                <v:fill o:detectmouseclick="t"/>
                <v:stroke joinstyle="miter"/>
                <v:textbox>
                  <w:txbxContent>
                    <w:p w14:paraId="6608D2E5" w14:textId="77777777" w:rsidR="00EC430E" w:rsidRPr="00BF340B" w:rsidRDefault="00EC430E" w:rsidP="00A96636">
                      <w:pPr>
                        <w:jc w:val="center"/>
                      </w:pPr>
                      <w:r w:rsidRPr="00BF340B">
                        <w:t>Acce</w:t>
                      </w:r>
                      <w:r>
                        <w:t>s</w:t>
                      </w:r>
                      <w:r w:rsidRPr="00BF340B">
                        <w:t xml:space="preserve">s to the </w:t>
                      </w:r>
                      <w:r>
                        <w:t>methodology</w:t>
                      </w:r>
                    </w:p>
                  </w:txbxContent>
                </v:textbox>
              </v:roundrect>
            </w:pict>
          </mc:Fallback>
        </mc:AlternateContent>
      </w:r>
      <w:r>
        <w:rPr>
          <w:noProof/>
        </w:rPr>
        <mc:AlternateContent>
          <mc:Choice Requires="wps">
            <w:drawing>
              <wp:anchor distT="0" distB="0" distL="114300" distR="114300" simplePos="0" relativeHeight="251658244" behindDoc="0" locked="0" layoutInCell="1" allowOverlap="1" wp14:anchorId="60074D32" wp14:editId="13295DE5">
                <wp:simplePos x="0" y="0"/>
                <wp:positionH relativeFrom="column">
                  <wp:posOffset>3725122</wp:posOffset>
                </wp:positionH>
                <wp:positionV relativeFrom="paragraph">
                  <wp:posOffset>81280</wp:posOffset>
                </wp:positionV>
                <wp:extent cx="1600200" cy="353060"/>
                <wp:effectExtent l="0" t="0" r="0" b="2540"/>
                <wp:wrapNone/>
                <wp:docPr id="35" name="Rectángulo redondeado 35">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160020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FCC1A" w14:textId="77777777" w:rsidR="00EC430E" w:rsidRPr="00BF340B" w:rsidRDefault="00EC430E" w:rsidP="00A96636">
                            <w:pPr>
                              <w:jc w:val="center"/>
                            </w:pPr>
                            <w:r>
                              <w:t>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74D32" id="Rectángulo redondeado 35" o:spid="_x0000_s1028" href="https://www.ankerresearchinstitute.org/contact-us" style="position:absolute;margin-left:293.3pt;margin-top:6.4pt;width:126pt;height:2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" o:button="t" fillcolor="#46d985" stroked="f" strokeweight="1pt">
                <v:fill o:detectmouseclick="t"/>
                <v:stroke joinstyle="miter"/>
                <v:textbox>
                  <w:txbxContent>
                    <w:p w14:paraId="4BBFCC1A" w14:textId="77777777" w:rsidR="00EC430E" w:rsidRPr="00BF340B" w:rsidRDefault="00EC430E" w:rsidP="00A96636">
                      <w:pPr>
                        <w:jc w:val="center"/>
                      </w:pPr>
                      <w:r>
                        <w:t>Contact</w:t>
                      </w:r>
                    </w:p>
                  </w:txbxContent>
                </v:textbox>
              </v:roundrect>
            </w:pict>
          </mc:Fallback>
        </mc:AlternateContent>
      </w:r>
      <w:r w:rsidR="008F448C">
        <w:rPr>
          <w:noProof/>
        </w:rPr>
        <mc:AlternateContent>
          <mc:Choice Requires="wps">
            <w:drawing>
              <wp:anchor distT="0" distB="0" distL="114300" distR="114300" simplePos="0" relativeHeight="251658240" behindDoc="0" locked="0" layoutInCell="1" allowOverlap="1" wp14:anchorId="3503CECB" wp14:editId="75BD8111">
                <wp:simplePos x="0" y="0"/>
                <wp:positionH relativeFrom="column">
                  <wp:posOffset>18416</wp:posOffset>
                </wp:positionH>
                <wp:positionV relativeFrom="paragraph">
                  <wp:posOffset>81280</wp:posOffset>
                </wp:positionV>
                <wp:extent cx="1600200" cy="353060"/>
                <wp:effectExtent l="0" t="0" r="0" b="8890"/>
                <wp:wrapNone/>
                <wp:docPr id="29" name="Rectángulo redondeado 29">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1600200" cy="353060"/>
                        </a:xfrm>
                        <a:prstGeom prst="roundRect">
                          <a:avLst/>
                        </a:prstGeom>
                        <a:solidFill>
                          <a:srgbClr val="46D9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BD5C93" w14:textId="101FFD86" w:rsidR="00BF340B" w:rsidRPr="00BF340B" w:rsidRDefault="00BF340B" w:rsidP="00A96636">
                            <w:pPr>
                              <w:jc w:val="center"/>
                            </w:pPr>
                            <w:r w:rsidRPr="00BF340B">
                              <w:t>Acce</w:t>
                            </w:r>
                            <w:r>
                              <w:t>s</w:t>
                            </w:r>
                            <w:r w:rsidRPr="00BF340B">
                              <w:t>s to the estimate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3CECB" id="Rectángulo redondeado 29" o:spid="_x0000_s1029" href="https://www.ankerresearchinstitute.org/ari-country-index" style="position:absolute;margin-left:1.45pt;margin-top:6.4pt;width:126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" o:button="t" fillcolor="#46d985" stroked="f" strokeweight="1pt">
                <v:fill o:detectmouseclick="t"/>
                <v:stroke joinstyle="miter"/>
                <v:textbox>
                  <w:txbxContent>
                    <w:p w14:paraId="32BD5C93" w14:textId="101FFD86" w:rsidR="00BF340B" w:rsidRPr="00BF340B" w:rsidRDefault="00BF340B" w:rsidP="00A96636">
                      <w:pPr>
                        <w:jc w:val="center"/>
                      </w:pPr>
                      <w:r w:rsidRPr="00BF340B">
                        <w:t>Acce</w:t>
                      </w:r>
                      <w:r>
                        <w:t>s</w:t>
                      </w:r>
                      <w:r w:rsidRPr="00BF340B">
                        <w:t>s to the estimate</w:t>
                      </w:r>
                    </w:p>
                  </w:txbxContent>
                </v:textbox>
              </v:roundrect>
            </w:pict>
          </mc:Fallback>
        </mc:AlternateContent>
      </w:r>
    </w:p>
    <w:p w14:paraId="24530472" w14:textId="77777777" w:rsidR="00BF340B" w:rsidRDefault="00BF340B" w:rsidP="004E093A"/>
    <w:p w14:paraId="1FDE552B" w14:textId="77777777" w:rsidR="00BF340B" w:rsidRDefault="00BF340B" w:rsidP="004E093A"/>
    <w:p w14:paraId="2F761E9A" w14:textId="77777777" w:rsidR="004E093A" w:rsidRDefault="007663EF" w:rsidP="004E093A">
      <w:pPr>
        <w:pStyle w:val="Heading3"/>
      </w:pPr>
      <w:r w:rsidRPr="007663EF">
        <w:t>How does the methodology meet the IDH criteria?</w:t>
      </w:r>
    </w:p>
    <w:tbl>
      <w:tblPr>
        <w:tblStyle w:val="TableGrid"/>
        <w:tblW w:w="10485" w:type="dxa"/>
        <w:tblLook w:val="04A0" w:firstRow="1" w:lastRow="0" w:firstColumn="1" w:lastColumn="0" w:noHBand="0" w:noVBand="1"/>
      </w:tblPr>
      <w:tblGrid>
        <w:gridCol w:w="419"/>
        <w:gridCol w:w="4396"/>
        <w:gridCol w:w="5670"/>
      </w:tblGrid>
      <w:tr w:rsidR="00F72758" w:rsidRPr="00F72758" w14:paraId="59BBCFA5" w14:textId="77777777" w:rsidTr="00F72758">
        <w:trPr>
          <w:trHeight w:val="300"/>
          <w:tblHeader/>
        </w:trPr>
        <w:tc>
          <w:tcPr>
            <w:tcW w:w="419" w:type="dxa"/>
          </w:tcPr>
          <w:p w14:paraId="0F7B8008" w14:textId="77777777" w:rsidR="00F72758" w:rsidRPr="00F72758" w:rsidRDefault="00F72758" w:rsidP="00F72758">
            <w:pPr>
              <w:rPr>
                <w:rFonts w:cs="Arial"/>
                <w:b/>
                <w:sz w:val="18"/>
                <w:szCs w:val="18"/>
              </w:rPr>
            </w:pPr>
          </w:p>
        </w:tc>
        <w:tc>
          <w:tcPr>
            <w:tcW w:w="4396" w:type="dxa"/>
          </w:tcPr>
          <w:p w14:paraId="0FEB63C3" w14:textId="77777777" w:rsidR="00F72758" w:rsidRPr="00F72758" w:rsidRDefault="00F72758" w:rsidP="00F72758">
            <w:pPr>
              <w:rPr>
                <w:rFonts w:cs="Arial"/>
                <w:b/>
                <w:sz w:val="18"/>
                <w:szCs w:val="18"/>
              </w:rPr>
            </w:pPr>
            <w:r w:rsidRPr="00F72758">
              <w:rPr>
                <w:rFonts w:cs="Arial"/>
                <w:b/>
                <w:sz w:val="18"/>
                <w:szCs w:val="18"/>
              </w:rPr>
              <w:t>Criterion</w:t>
            </w:r>
          </w:p>
        </w:tc>
        <w:tc>
          <w:tcPr>
            <w:tcW w:w="5670" w:type="dxa"/>
          </w:tcPr>
          <w:p w14:paraId="545EF3CD" w14:textId="77777777" w:rsidR="00F72758" w:rsidRPr="00F72758" w:rsidRDefault="00F72758" w:rsidP="00F72758">
            <w:pPr>
              <w:rPr>
                <w:rFonts w:cs="Arial"/>
                <w:b/>
                <w:sz w:val="18"/>
                <w:szCs w:val="18"/>
              </w:rPr>
            </w:pPr>
            <w:r w:rsidRPr="00F72758">
              <w:rPr>
                <w:rFonts w:cs="Arial"/>
                <w:b/>
                <w:sz w:val="18"/>
                <w:szCs w:val="18"/>
              </w:rPr>
              <w:t>Narrative text from organisation</w:t>
            </w:r>
          </w:p>
        </w:tc>
      </w:tr>
      <w:tr w:rsidR="00F72758" w:rsidRPr="00F72758" w14:paraId="1A7CB17D" w14:textId="77777777" w:rsidTr="00F72758">
        <w:trPr>
          <w:cantSplit/>
          <w:trHeight w:val="300"/>
        </w:trPr>
        <w:tc>
          <w:tcPr>
            <w:tcW w:w="419" w:type="dxa"/>
            <w:hideMark/>
          </w:tcPr>
          <w:p w14:paraId="38F4A740" w14:textId="77777777" w:rsidR="00F72758" w:rsidRPr="00F72758" w:rsidRDefault="00F72758" w:rsidP="00F72758">
            <w:pPr>
              <w:rPr>
                <w:sz w:val="18"/>
                <w:szCs w:val="18"/>
              </w:rPr>
            </w:pPr>
            <w:r w:rsidRPr="00F72758">
              <w:rPr>
                <w:sz w:val="18"/>
                <w:szCs w:val="18"/>
              </w:rPr>
              <w:t>1</w:t>
            </w:r>
          </w:p>
        </w:tc>
        <w:tc>
          <w:tcPr>
            <w:tcW w:w="4396" w:type="dxa"/>
            <w:hideMark/>
          </w:tcPr>
          <w:p w14:paraId="1CC12289" w14:textId="77777777" w:rsidR="00F72758" w:rsidRPr="00F72758" w:rsidRDefault="00F72758" w:rsidP="00F72758">
            <w:pPr>
              <w:rPr>
                <w:sz w:val="18"/>
                <w:szCs w:val="18"/>
              </w:rPr>
            </w:pPr>
            <w:r w:rsidRPr="00F72758">
              <w:rPr>
                <w:b/>
                <w:bCs/>
                <w:sz w:val="18"/>
                <w:szCs w:val="18"/>
              </w:rPr>
              <w:t>Collecting data: </w:t>
            </w:r>
            <w:r w:rsidRPr="00F72758">
              <w:rPr>
                <w:sz w:val="18"/>
                <w:szCs w:val="18"/>
              </w:rPr>
              <w:t>the living wage estimation organisation shall estimate the living wage based on data collected through field level research, online surveys (excluding those that are solely based on self-selected respondents), national statistics and/or modelling (modelling not accepted as a sole form).</w:t>
            </w:r>
          </w:p>
          <w:p w14:paraId="3856A4E8" w14:textId="77777777" w:rsidR="00F72758" w:rsidRPr="00F72758" w:rsidRDefault="00F72758" w:rsidP="00F72758">
            <w:pPr>
              <w:rPr>
                <w:sz w:val="18"/>
                <w:szCs w:val="18"/>
              </w:rPr>
            </w:pPr>
          </w:p>
        </w:tc>
        <w:tc>
          <w:tcPr>
            <w:tcW w:w="5670" w:type="dxa"/>
          </w:tcPr>
          <w:p w14:paraId="6F012887" w14:textId="77777777" w:rsidR="00F72758" w:rsidRPr="00F72758" w:rsidRDefault="00F72758" w:rsidP="00F72758">
            <w:pPr>
              <w:spacing w:after="0"/>
              <w:rPr>
                <w:rFonts w:ascii="Calibri" w:hAnsi="Calibri"/>
                <w:sz w:val="18"/>
                <w:szCs w:val="18"/>
              </w:rPr>
            </w:pPr>
            <w:r w:rsidRPr="00F72758">
              <w:rPr>
                <w:rFonts w:ascii="Calibri" w:hAnsi="Calibri" w:cs="Calibri"/>
                <w:sz w:val="18"/>
                <w:szCs w:val="18"/>
              </w:rPr>
              <w:t>The Anker Research Institute (ARI) carries out benchmark studies to estimate living wages for well-defined regions or zones within a country; especially if the country is large and heterogeneous. When the interest is estimating the typical living wage for rural and urban areas in a country, ARI recommends the Reference Value approach. By this approach, an average rural living wage and an average urban living wage are estimated for a country. ARI recommends and applies this approach especially for small homogeneous countries. The data used to estimate urban and rural living wage reference values for a particular country are the living wage estimates obtained in the aforementioned benchmark studies for rural and urban areas across a large number of countries, together with data on households’ consumption per capita for the country of interest. The household consumption data is obtained from national statistics and has been harmonized by the World Bank to be comparable across countries with different purchasing power parity (PPP). To calculate the household consumption per capita, data on population size are obtained also from national statistics, harmonized by the World Bank.</w:t>
            </w:r>
          </w:p>
        </w:tc>
      </w:tr>
      <w:tr w:rsidR="00F72758" w:rsidRPr="00F72758" w14:paraId="45CF4C16" w14:textId="77777777" w:rsidTr="00F72758">
        <w:trPr>
          <w:cantSplit/>
          <w:trHeight w:val="300"/>
        </w:trPr>
        <w:tc>
          <w:tcPr>
            <w:tcW w:w="419" w:type="dxa"/>
            <w:hideMark/>
          </w:tcPr>
          <w:p w14:paraId="3CB1D85C" w14:textId="77777777" w:rsidR="00F72758" w:rsidRPr="00F72758" w:rsidRDefault="00F72758" w:rsidP="00F72758">
            <w:pPr>
              <w:rPr>
                <w:sz w:val="18"/>
                <w:szCs w:val="18"/>
              </w:rPr>
            </w:pPr>
            <w:r w:rsidRPr="00F72758">
              <w:rPr>
                <w:sz w:val="18"/>
                <w:szCs w:val="18"/>
              </w:rPr>
              <w:t>2</w:t>
            </w:r>
          </w:p>
        </w:tc>
        <w:tc>
          <w:tcPr>
            <w:tcW w:w="4396" w:type="dxa"/>
            <w:hideMark/>
          </w:tcPr>
          <w:p w14:paraId="0DC613FF" w14:textId="77777777" w:rsidR="00F72758" w:rsidRPr="00F72758" w:rsidRDefault="00F72758" w:rsidP="00F72758">
            <w:pPr>
              <w:rPr>
                <w:sz w:val="18"/>
                <w:szCs w:val="18"/>
              </w:rPr>
            </w:pPr>
            <w:r w:rsidRPr="00F72758">
              <w:rPr>
                <w:b/>
                <w:bCs/>
                <w:sz w:val="18"/>
                <w:szCs w:val="18"/>
              </w:rPr>
              <w:t>Cost of living of a typical family:</w:t>
            </w:r>
            <w:r w:rsidRPr="00F72758">
              <w:rPr>
                <w:sz w:val="18"/>
                <w:szCs w:val="18"/>
              </w:rPr>
              <w:t> The living wage estimation organisation shall measure the cost of living of a typical family in a region. A typical family in a region means that the size of a family is estimated based on regional (or national) data through family size data or total-fertility data.</w:t>
            </w:r>
          </w:p>
        </w:tc>
        <w:tc>
          <w:tcPr>
            <w:tcW w:w="5670" w:type="dxa"/>
          </w:tcPr>
          <w:p w14:paraId="02F9D78F" w14:textId="77777777" w:rsidR="00F72758" w:rsidRPr="00F72758" w:rsidRDefault="00F72758" w:rsidP="00F72758">
            <w:pPr>
              <w:rPr>
                <w:sz w:val="18"/>
                <w:szCs w:val="18"/>
              </w:rPr>
            </w:pPr>
            <w:r w:rsidRPr="00F72758">
              <w:rPr>
                <w:rFonts w:ascii="Calibri" w:hAnsi="Calibri" w:cs="Calibri"/>
                <w:sz w:val="18"/>
                <w:szCs w:val="18"/>
              </w:rPr>
              <w:t>The living wage reference value reports include an estimation of reference family size for the country, for rural and urban areas, for which the living wage reference value applies. Reference family size is calculated in the same way that it is calculated for benchmark studies, and based on two considerations: first, the total fertility rate, adjusted for the mortality of children under 5 years of age; second, the average size of households that have between 2 and 8 members. The final decision results from a balance between both considerations, where the aim is not to underestimate or overestimate the size of the family in the country and sector of interest.</w:t>
            </w:r>
          </w:p>
        </w:tc>
      </w:tr>
      <w:tr w:rsidR="00F72758" w:rsidRPr="00F72758" w14:paraId="23B54F3E" w14:textId="77777777" w:rsidTr="00F72758">
        <w:trPr>
          <w:cantSplit/>
          <w:trHeight w:val="300"/>
        </w:trPr>
        <w:tc>
          <w:tcPr>
            <w:tcW w:w="419" w:type="dxa"/>
            <w:hideMark/>
          </w:tcPr>
          <w:p w14:paraId="3CA6B83E" w14:textId="77777777" w:rsidR="00F72758" w:rsidRPr="00F72758" w:rsidRDefault="00F72758" w:rsidP="00F72758">
            <w:pPr>
              <w:rPr>
                <w:sz w:val="18"/>
                <w:szCs w:val="18"/>
              </w:rPr>
            </w:pPr>
            <w:r w:rsidRPr="00F72758">
              <w:rPr>
                <w:sz w:val="18"/>
                <w:szCs w:val="18"/>
              </w:rPr>
              <w:lastRenderedPageBreak/>
              <w:t>3</w:t>
            </w:r>
          </w:p>
        </w:tc>
        <w:tc>
          <w:tcPr>
            <w:tcW w:w="4396" w:type="dxa"/>
            <w:hideMark/>
          </w:tcPr>
          <w:p w14:paraId="62F7019B" w14:textId="77777777" w:rsidR="00F72758" w:rsidRPr="00F72758" w:rsidRDefault="00F72758" w:rsidP="00F72758">
            <w:pPr>
              <w:rPr>
                <w:sz w:val="18"/>
                <w:szCs w:val="18"/>
              </w:rPr>
            </w:pPr>
            <w:r w:rsidRPr="00F72758">
              <w:rPr>
                <w:b/>
                <w:bCs/>
                <w:sz w:val="18"/>
                <w:szCs w:val="18"/>
              </w:rPr>
              <w:t>Items of cost of living: </w:t>
            </w:r>
            <w:r w:rsidRPr="00F72758">
              <w:rPr>
                <w:sz w:val="18"/>
                <w:szCs w:val="18"/>
              </w:rPr>
              <w:t>The living wage estimation organisations shall transparently itemize the living expenses included in the calculation of the living wage estimations based on requirements listed in the COICOP 2018. Typical expense categories include the following but other items might be added based on local contexts:</w:t>
            </w:r>
            <w:r w:rsidRPr="00F72758">
              <w:rPr>
                <w:sz w:val="18"/>
                <w:szCs w:val="18"/>
              </w:rPr>
              <w:br/>
              <w:t>- Nutritious food</w:t>
            </w:r>
            <w:r w:rsidRPr="00F72758">
              <w:rPr>
                <w:sz w:val="18"/>
                <w:szCs w:val="18"/>
              </w:rPr>
              <w:br/>
              <w:t>- Clothing and footwear</w:t>
            </w:r>
            <w:r w:rsidRPr="00F72758">
              <w:rPr>
                <w:sz w:val="18"/>
                <w:szCs w:val="18"/>
              </w:rPr>
              <w:br/>
              <w:t>- Housing (including rental costs, maintenance and furnishing)</w:t>
            </w:r>
            <w:r w:rsidRPr="00F72758">
              <w:rPr>
                <w:sz w:val="18"/>
                <w:szCs w:val="18"/>
              </w:rPr>
              <w:br/>
              <w:t>- Healthcare</w:t>
            </w:r>
            <w:r w:rsidRPr="00F72758">
              <w:rPr>
                <w:sz w:val="18"/>
                <w:szCs w:val="18"/>
              </w:rPr>
              <w:br/>
              <w:t>- Transportation</w:t>
            </w:r>
            <w:r w:rsidRPr="00F72758">
              <w:rPr>
                <w:sz w:val="18"/>
                <w:szCs w:val="18"/>
              </w:rPr>
              <w:br/>
              <w:t>- Information and communication</w:t>
            </w:r>
            <w:r w:rsidRPr="00F72758">
              <w:rPr>
                <w:sz w:val="18"/>
                <w:szCs w:val="18"/>
              </w:rPr>
              <w:br/>
              <w:t>- Recreation, sport and culture</w:t>
            </w:r>
            <w:r w:rsidRPr="00F72758">
              <w:rPr>
                <w:sz w:val="18"/>
                <w:szCs w:val="18"/>
              </w:rPr>
              <w:br/>
              <w:t>- Education services</w:t>
            </w:r>
            <w:r w:rsidRPr="00F72758">
              <w:rPr>
                <w:sz w:val="18"/>
                <w:szCs w:val="18"/>
              </w:rPr>
              <w:br/>
              <w:t>- Restaurants and accommodation services</w:t>
            </w:r>
            <w:r w:rsidRPr="00F72758">
              <w:rPr>
                <w:sz w:val="18"/>
                <w:szCs w:val="18"/>
              </w:rPr>
              <w:br/>
              <w:t>- Insurance and financial services</w:t>
            </w:r>
            <w:r w:rsidRPr="00F72758">
              <w:rPr>
                <w:sz w:val="18"/>
                <w:szCs w:val="18"/>
              </w:rPr>
              <w:br/>
              <w:t>- Personal care and other gender aspects (e.g. sanitary products)</w:t>
            </w:r>
            <w:r w:rsidRPr="00F72758">
              <w:rPr>
                <w:sz w:val="18"/>
                <w:szCs w:val="18"/>
              </w:rPr>
              <w:br/>
              <w:t>- Care (</w:t>
            </w:r>
            <w:proofErr w:type="spellStart"/>
            <w:r w:rsidRPr="00F72758">
              <w:rPr>
                <w:sz w:val="18"/>
                <w:szCs w:val="18"/>
              </w:rPr>
              <w:t>child+elder</w:t>
            </w:r>
            <w:proofErr w:type="spellEnd"/>
            <w:r w:rsidRPr="00F72758">
              <w:rPr>
                <w:sz w:val="18"/>
                <w:szCs w:val="18"/>
              </w:rPr>
              <w:t>)*</w:t>
            </w:r>
            <w:r w:rsidRPr="00F72758">
              <w:rPr>
                <w:sz w:val="18"/>
                <w:szCs w:val="18"/>
              </w:rPr>
              <w:br/>
              <w:t>- Other </w:t>
            </w:r>
            <w:r w:rsidRPr="00F72758">
              <w:rPr>
                <w:sz w:val="18"/>
                <w:szCs w:val="18"/>
              </w:rPr>
              <w:br/>
              <w:t>- A small margin for unexpected events</w:t>
            </w:r>
            <w:r w:rsidRPr="00F72758">
              <w:rPr>
                <w:sz w:val="18"/>
                <w:szCs w:val="18"/>
              </w:rPr>
              <w:br/>
              <w:t>The living wage estimation organisations shall provide an explanation on why they do not certain rubrics, for example, childcare.</w:t>
            </w:r>
          </w:p>
        </w:tc>
        <w:tc>
          <w:tcPr>
            <w:tcW w:w="5670" w:type="dxa"/>
          </w:tcPr>
          <w:p w14:paraId="39058468" w14:textId="77777777" w:rsidR="00F72758" w:rsidRPr="00F72758" w:rsidRDefault="00F72758" w:rsidP="00F72758">
            <w:pPr>
              <w:rPr>
                <w:sz w:val="18"/>
                <w:szCs w:val="18"/>
              </w:rPr>
            </w:pPr>
            <w:r w:rsidRPr="00F72758">
              <w:rPr>
                <w:rFonts w:ascii="Calibri" w:hAnsi="Calibri" w:cs="Calibri"/>
                <w:sz w:val="18"/>
                <w:szCs w:val="18"/>
              </w:rPr>
              <w:t>ARI has extended the Reference Value approach to report the breakdown of components of living expenses associated with the living wage reference value, including food, housing, other goods and services, and provision for unexpected events.</w:t>
            </w:r>
          </w:p>
        </w:tc>
      </w:tr>
      <w:tr w:rsidR="00F72758" w:rsidRPr="00F72758" w14:paraId="62FDA802" w14:textId="77777777" w:rsidTr="00F72758">
        <w:trPr>
          <w:cantSplit/>
          <w:trHeight w:val="300"/>
        </w:trPr>
        <w:tc>
          <w:tcPr>
            <w:tcW w:w="419" w:type="dxa"/>
            <w:hideMark/>
          </w:tcPr>
          <w:p w14:paraId="7DADBF9B" w14:textId="77777777" w:rsidR="00F72758" w:rsidRPr="00F72758" w:rsidRDefault="00F72758" w:rsidP="00F72758">
            <w:pPr>
              <w:rPr>
                <w:sz w:val="18"/>
                <w:szCs w:val="18"/>
              </w:rPr>
            </w:pPr>
            <w:r w:rsidRPr="00F72758">
              <w:rPr>
                <w:sz w:val="18"/>
                <w:szCs w:val="18"/>
              </w:rPr>
              <w:t>4</w:t>
            </w:r>
          </w:p>
        </w:tc>
        <w:tc>
          <w:tcPr>
            <w:tcW w:w="4396" w:type="dxa"/>
            <w:hideMark/>
          </w:tcPr>
          <w:p w14:paraId="0D9CA575" w14:textId="77777777" w:rsidR="00F72758" w:rsidRPr="00F72758" w:rsidRDefault="00F72758" w:rsidP="00F72758">
            <w:pPr>
              <w:rPr>
                <w:sz w:val="18"/>
                <w:szCs w:val="18"/>
              </w:rPr>
            </w:pPr>
            <w:r w:rsidRPr="00F72758">
              <w:rPr>
                <w:b/>
                <w:bCs/>
                <w:sz w:val="18"/>
                <w:szCs w:val="18"/>
              </w:rPr>
              <w:t>Working adults: </w:t>
            </w:r>
            <w:r w:rsidRPr="00F72758">
              <w:rPr>
                <w:sz w:val="18"/>
                <w:szCs w:val="18"/>
              </w:rPr>
              <w:t>The living wage estimation organisation shall factor in the expected number of working adults in a family by dividing the total cost of living by 1+ the employment rate. </w:t>
            </w:r>
            <w:r w:rsidRPr="00F72758">
              <w:rPr>
                <w:sz w:val="18"/>
                <w:szCs w:val="18"/>
              </w:rPr>
              <w:br/>
              <w:t>Additionally, a living wage that factors in for a single earner by dividing the total cost of living by 1 to represent the single earner in a typical size family is also accepted.</w:t>
            </w:r>
          </w:p>
        </w:tc>
        <w:tc>
          <w:tcPr>
            <w:tcW w:w="5670" w:type="dxa"/>
          </w:tcPr>
          <w:p w14:paraId="4D842EA1" w14:textId="59D311CC" w:rsidR="00F72758" w:rsidRPr="00F72758" w:rsidRDefault="00F72758" w:rsidP="00F72758">
            <w:pPr>
              <w:spacing w:after="0"/>
              <w:rPr>
                <w:sz w:val="18"/>
                <w:szCs w:val="18"/>
              </w:rPr>
            </w:pPr>
            <w:r w:rsidRPr="00F72758">
              <w:rPr>
                <w:rFonts w:ascii="Calibri" w:hAnsi="Calibri" w:cs="Calibri"/>
                <w:sz w:val="18"/>
                <w:szCs w:val="18"/>
              </w:rPr>
              <w:t xml:space="preserve">The living wage reference value reports include an estimation of the number of full-time equivalent working adults </w:t>
            </w:r>
            <w:r w:rsidRPr="008368E1">
              <w:rPr>
                <w:rFonts w:ascii="Calibri" w:hAnsi="Calibri" w:cs="Calibri"/>
                <w:sz w:val="18"/>
                <w:szCs w:val="18"/>
              </w:rPr>
              <w:t xml:space="preserve">in </w:t>
            </w:r>
            <w:r w:rsidR="0003301B" w:rsidRPr="008368E1">
              <w:rPr>
                <w:rFonts w:ascii="Calibri" w:hAnsi="Calibri" w:cs="Calibri"/>
                <w:sz w:val="18"/>
                <w:szCs w:val="18"/>
              </w:rPr>
              <w:t xml:space="preserve">the </w:t>
            </w:r>
            <w:r w:rsidR="0063747F" w:rsidRPr="008368E1">
              <w:rPr>
                <w:rFonts w:ascii="Calibri" w:hAnsi="Calibri" w:cs="Calibri"/>
                <w:sz w:val="18"/>
                <w:szCs w:val="18"/>
              </w:rPr>
              <w:t>typical family</w:t>
            </w:r>
            <w:r w:rsidRPr="00F72758">
              <w:rPr>
                <w:rFonts w:ascii="Calibri" w:hAnsi="Calibri" w:cs="Calibri"/>
                <w:sz w:val="18"/>
                <w:szCs w:val="18"/>
              </w:rPr>
              <w:t>, for rural and urban areas, for which the living wage reference value applies. ARI follows the Anker Methodology and calculates the number of full-time equivalent workers as 1+probability of full-time work of the husband or wife, maintaining gender neutrality. A living wage calculation for a single earner in a typical size family is not presented in ARI's living wage reports. The reason is that ARI estimates the living wage for the typical family, and the typical family does not have a single earner. In addition, single earner families may have a different cost of living than the typical family with more than one working adult. ARI also considers that having more than one estimate of the living wage for an area can lead to confusion and encourage discrimination in the payment of wages.</w:t>
            </w:r>
            <w:r w:rsidRPr="00F72758">
              <w:rPr>
                <w:rStyle w:val="apple-converted-space"/>
                <w:rFonts w:ascii="Calibri" w:hAnsi="Calibri" w:cs="Calibri"/>
                <w:sz w:val="18"/>
                <w:szCs w:val="18"/>
              </w:rPr>
              <w:t> </w:t>
            </w:r>
          </w:p>
        </w:tc>
      </w:tr>
      <w:tr w:rsidR="00F72758" w:rsidRPr="00F72758" w14:paraId="3825AD51" w14:textId="77777777" w:rsidTr="00F72758">
        <w:trPr>
          <w:cantSplit/>
          <w:trHeight w:val="300"/>
        </w:trPr>
        <w:tc>
          <w:tcPr>
            <w:tcW w:w="419" w:type="dxa"/>
            <w:hideMark/>
          </w:tcPr>
          <w:p w14:paraId="3823468B" w14:textId="77777777" w:rsidR="00F72758" w:rsidRPr="00F72758" w:rsidRDefault="00F72758" w:rsidP="00F72758">
            <w:pPr>
              <w:rPr>
                <w:sz w:val="18"/>
                <w:szCs w:val="18"/>
              </w:rPr>
            </w:pPr>
            <w:r w:rsidRPr="00F72758">
              <w:rPr>
                <w:sz w:val="18"/>
                <w:szCs w:val="18"/>
              </w:rPr>
              <w:t>5</w:t>
            </w:r>
          </w:p>
        </w:tc>
        <w:tc>
          <w:tcPr>
            <w:tcW w:w="4396" w:type="dxa"/>
            <w:hideMark/>
          </w:tcPr>
          <w:p w14:paraId="3C5618F7" w14:textId="77777777" w:rsidR="00F72758" w:rsidRPr="00F72758" w:rsidRDefault="00F72758" w:rsidP="00F72758">
            <w:pPr>
              <w:rPr>
                <w:sz w:val="18"/>
                <w:szCs w:val="18"/>
              </w:rPr>
            </w:pPr>
            <w:r w:rsidRPr="00F72758">
              <w:rPr>
                <w:b/>
                <w:bCs/>
                <w:sz w:val="18"/>
                <w:szCs w:val="18"/>
              </w:rPr>
              <w:t>Sufficient net income: </w:t>
            </w:r>
            <w:r w:rsidRPr="00F72758">
              <w:rPr>
                <w:sz w:val="18"/>
                <w:szCs w:val="18"/>
              </w:rPr>
              <w:t>The living wage estimation organisation shall provide the</w:t>
            </w:r>
            <w:r w:rsidRPr="00F72758">
              <w:rPr>
                <w:b/>
                <w:bCs/>
                <w:sz w:val="18"/>
                <w:szCs w:val="18"/>
              </w:rPr>
              <w:t> gross living wage estimate,</w:t>
            </w:r>
            <w:r w:rsidRPr="00F72758">
              <w:rPr>
                <w:sz w:val="18"/>
                <w:szCs w:val="18"/>
              </w:rPr>
              <w:t> which is the gross pay required to ensure sufficient net take home pay to cover for the cost of living. This is necessary because net living wage would not account for statutory deductions from pay (such as income taxes, social security taxes, and union fees) which will reduce the take home pay and money available for day-to-day expenses. </w:t>
            </w:r>
          </w:p>
        </w:tc>
        <w:tc>
          <w:tcPr>
            <w:tcW w:w="5670" w:type="dxa"/>
            <w:vAlign w:val="bottom"/>
          </w:tcPr>
          <w:p w14:paraId="2F063EB4" w14:textId="77777777" w:rsidR="00F72758" w:rsidRDefault="00F72758" w:rsidP="00F72758">
            <w:pPr>
              <w:spacing w:after="0"/>
              <w:rPr>
                <w:rFonts w:ascii="Calibri" w:hAnsi="Calibri" w:cs="Calibri"/>
                <w:sz w:val="18"/>
                <w:szCs w:val="18"/>
              </w:rPr>
            </w:pPr>
            <w:r w:rsidRPr="00F72758">
              <w:rPr>
                <w:rFonts w:ascii="Calibri" w:hAnsi="Calibri" w:cs="Calibri"/>
                <w:sz w:val="18"/>
                <w:szCs w:val="18"/>
              </w:rPr>
              <w:t>ARI provides the estimate of Net Living Wage and Gross Living Wage in all its living wage studies, including the Reference Value studies. ARI studies put a lot of effort into understanding all the taxes and deductions that affect workers' out-of-pocket wages, which is why there is always a section in ARI studies that explicitly addresses this topic. In ARI's annual update reports, where the living wage reference value is updated for inflation, it is always taken into account whether there were changes in income tax and social security payroll deductions that impact the difference between the gross living wage and the net living wage.</w:t>
            </w:r>
          </w:p>
          <w:p w14:paraId="4E0886BC" w14:textId="63EA4FDA" w:rsidR="00F72758" w:rsidRPr="00F72758" w:rsidRDefault="00F72758" w:rsidP="00F72758">
            <w:pPr>
              <w:spacing w:after="0"/>
              <w:rPr>
                <w:rFonts w:cs="Times New Roman"/>
                <w:sz w:val="18"/>
                <w:szCs w:val="18"/>
              </w:rPr>
            </w:pPr>
          </w:p>
        </w:tc>
      </w:tr>
      <w:tr w:rsidR="00F72758" w:rsidRPr="00F72758" w14:paraId="2549E5B2" w14:textId="77777777" w:rsidTr="00F72758">
        <w:trPr>
          <w:cantSplit/>
          <w:trHeight w:val="300"/>
        </w:trPr>
        <w:tc>
          <w:tcPr>
            <w:tcW w:w="419" w:type="dxa"/>
            <w:hideMark/>
          </w:tcPr>
          <w:p w14:paraId="1876E028" w14:textId="77777777" w:rsidR="00F72758" w:rsidRPr="00F72758" w:rsidRDefault="00F72758" w:rsidP="00F72758">
            <w:pPr>
              <w:rPr>
                <w:sz w:val="18"/>
                <w:szCs w:val="18"/>
              </w:rPr>
            </w:pPr>
            <w:r w:rsidRPr="00F72758">
              <w:rPr>
                <w:sz w:val="18"/>
                <w:szCs w:val="18"/>
              </w:rPr>
              <w:lastRenderedPageBreak/>
              <w:t>6</w:t>
            </w:r>
          </w:p>
        </w:tc>
        <w:tc>
          <w:tcPr>
            <w:tcW w:w="4396" w:type="dxa"/>
            <w:hideMark/>
          </w:tcPr>
          <w:p w14:paraId="23822F4E" w14:textId="77777777" w:rsidR="00F72758" w:rsidRPr="00F72758" w:rsidRDefault="00F72758" w:rsidP="00F72758">
            <w:pPr>
              <w:rPr>
                <w:b/>
                <w:sz w:val="18"/>
                <w:szCs w:val="18"/>
              </w:rPr>
            </w:pPr>
            <w:r w:rsidRPr="00F72758">
              <w:rPr>
                <w:b/>
                <w:sz w:val="18"/>
                <w:szCs w:val="18"/>
              </w:rPr>
              <w:t>Differences in context: </w:t>
            </w:r>
            <w:r w:rsidRPr="00F72758">
              <w:rPr>
                <w:sz w:val="18"/>
                <w:szCs w:val="18"/>
              </w:rPr>
              <w:t>The living wage estimation organisation shall assure that estimates are city/region-specific or at least account for urban and rural differences.</w:t>
            </w:r>
            <w:r w:rsidRPr="00F72758">
              <w:rPr>
                <w:sz w:val="18"/>
                <w:szCs w:val="18"/>
              </w:rPr>
              <w:br/>
              <w:t>For countries above a certain size (e.g. Australia, Argentina, Brazil, Canada, China, India, Russia, USA):</w:t>
            </w:r>
            <w:r w:rsidRPr="00F72758">
              <w:rPr>
                <w:sz w:val="18"/>
                <w:szCs w:val="18"/>
              </w:rPr>
              <w:br/>
              <w:t>- Living wage estimation organisations shall indicate whether subnational estimates are provided or not, and if the location for which the subnational estimates applies are based on governmental/sub-governmental delimitation (e.g. when the estimate applies to a specific sub-national province).</w:t>
            </w:r>
            <w:r w:rsidRPr="00F72758">
              <w:rPr>
                <w:sz w:val="18"/>
                <w:szCs w:val="18"/>
              </w:rPr>
              <w:br/>
              <w:t>- Living wage estimation organisations shall provide guidance on how to proceed when there are not subnational estimates or there is no estimate available for a given region (e.g. suggest that they use the national estimate, or a neighbouring region estimate).</w:t>
            </w:r>
          </w:p>
        </w:tc>
        <w:tc>
          <w:tcPr>
            <w:tcW w:w="5670" w:type="dxa"/>
          </w:tcPr>
          <w:p w14:paraId="545D95D5" w14:textId="77777777" w:rsidR="00F72758" w:rsidRPr="00F72758" w:rsidRDefault="00F72758" w:rsidP="00F72758">
            <w:pPr>
              <w:rPr>
                <w:sz w:val="18"/>
                <w:szCs w:val="18"/>
              </w:rPr>
            </w:pPr>
            <w:r w:rsidRPr="00F72758">
              <w:rPr>
                <w:rFonts w:ascii="Calibri" w:hAnsi="Calibri" w:cs="Calibri"/>
                <w:sz w:val="18"/>
                <w:szCs w:val="18"/>
              </w:rPr>
              <w:t>All ARI living wage reference value reports include a section characterizing the rural or urban areas of a country, as applicable for the report. In this way, ARI studies always indicate precisely the geographic scope and socio-economic context for which the estimated living wage is valid. ARI clearly indicates whether the reference value is valid for urban or rural areas.</w:t>
            </w:r>
          </w:p>
        </w:tc>
      </w:tr>
      <w:tr w:rsidR="00F72758" w:rsidRPr="00F72758" w14:paraId="41E3E6D5" w14:textId="77777777" w:rsidTr="00F72758">
        <w:trPr>
          <w:cantSplit/>
          <w:trHeight w:val="300"/>
        </w:trPr>
        <w:tc>
          <w:tcPr>
            <w:tcW w:w="419" w:type="dxa"/>
            <w:hideMark/>
          </w:tcPr>
          <w:p w14:paraId="1EFDA4EC" w14:textId="77777777" w:rsidR="00F72758" w:rsidRPr="00F72758" w:rsidRDefault="00F72758" w:rsidP="00F72758">
            <w:pPr>
              <w:rPr>
                <w:sz w:val="18"/>
                <w:szCs w:val="18"/>
              </w:rPr>
            </w:pPr>
            <w:r w:rsidRPr="00F72758">
              <w:rPr>
                <w:sz w:val="18"/>
                <w:szCs w:val="18"/>
              </w:rPr>
              <w:t>7</w:t>
            </w:r>
          </w:p>
        </w:tc>
        <w:tc>
          <w:tcPr>
            <w:tcW w:w="4396" w:type="dxa"/>
            <w:hideMark/>
          </w:tcPr>
          <w:p w14:paraId="03ACC19D" w14:textId="77777777" w:rsidR="00F72758" w:rsidRPr="00F72758" w:rsidRDefault="00F72758" w:rsidP="00F72758">
            <w:pPr>
              <w:rPr>
                <w:sz w:val="18"/>
                <w:szCs w:val="18"/>
              </w:rPr>
            </w:pPr>
            <w:r w:rsidRPr="00F72758">
              <w:rPr>
                <w:b/>
                <w:bCs/>
                <w:sz w:val="18"/>
                <w:szCs w:val="18"/>
              </w:rPr>
              <w:t>Conflict of Interest: </w:t>
            </w:r>
            <w:r w:rsidRPr="00F72758">
              <w:rPr>
                <w:sz w:val="18"/>
                <w:szCs w:val="18"/>
              </w:rPr>
              <w:t>The living wage estimation organisation must have no inherent conflicts of interests. Methodologies must have sufficient distance from funding sources to maintain integrity. In addition, individual estimations results must not be influenced by the funding source.  </w:t>
            </w:r>
            <w:r w:rsidRPr="00F72758">
              <w:rPr>
                <w:sz w:val="18"/>
                <w:szCs w:val="18"/>
              </w:rPr>
              <w:br/>
              <w:t>Organisations who have other activities that can be perceived as a conflict of interest, such as auditing and certifying companies that use these estimations, need to publicly disclose what are the systems that have been implemented to avoid such conflicts.</w:t>
            </w:r>
          </w:p>
        </w:tc>
        <w:tc>
          <w:tcPr>
            <w:tcW w:w="5670" w:type="dxa"/>
          </w:tcPr>
          <w:p w14:paraId="158C4947" w14:textId="77777777" w:rsidR="00F72758" w:rsidRPr="00F72758" w:rsidRDefault="00F72758" w:rsidP="00F72758">
            <w:pPr>
              <w:spacing w:after="0"/>
              <w:rPr>
                <w:rFonts w:cs="Times New Roman"/>
                <w:sz w:val="18"/>
                <w:szCs w:val="18"/>
              </w:rPr>
            </w:pPr>
            <w:r w:rsidRPr="00F72758">
              <w:rPr>
                <w:rFonts w:ascii="Calibri" w:hAnsi="Calibri" w:cs="Calibri"/>
                <w:sz w:val="18"/>
                <w:szCs w:val="18"/>
              </w:rPr>
              <w:t>ARI estimates its living wage reference values with total freedom, and independently of the interests of those who fund the studies or use them. The way this is achieved is that only at the end of carrying out a study are the results and estimates communicated to the funders or the other members of the GLWC. They have a limited time to send questions or suggestions for changes. These requests are evaluated freely and independently, and are only taken into account when they reveal an error in the work of the study researchers. In the case of living wage reference value, the estimation cannot even be manipulated or changed by ARI, since it must conform to the worldwide pattern followed by Anker living wage benchmarks, as explained in criterium 1.</w:t>
            </w:r>
          </w:p>
        </w:tc>
      </w:tr>
      <w:tr w:rsidR="00F72758" w:rsidRPr="00F72758" w14:paraId="62B1850E" w14:textId="77777777" w:rsidTr="00F72758">
        <w:trPr>
          <w:cantSplit/>
          <w:trHeight w:val="300"/>
        </w:trPr>
        <w:tc>
          <w:tcPr>
            <w:tcW w:w="419" w:type="dxa"/>
            <w:hideMark/>
          </w:tcPr>
          <w:p w14:paraId="5F1B6280" w14:textId="77777777" w:rsidR="00F72758" w:rsidRPr="00F72758" w:rsidRDefault="00F72758" w:rsidP="00F72758">
            <w:pPr>
              <w:rPr>
                <w:sz w:val="18"/>
                <w:szCs w:val="18"/>
              </w:rPr>
            </w:pPr>
            <w:r w:rsidRPr="00F72758">
              <w:rPr>
                <w:sz w:val="18"/>
                <w:szCs w:val="18"/>
              </w:rPr>
              <w:t>8</w:t>
            </w:r>
          </w:p>
        </w:tc>
        <w:tc>
          <w:tcPr>
            <w:tcW w:w="4396" w:type="dxa"/>
            <w:hideMark/>
          </w:tcPr>
          <w:p w14:paraId="389EC2A2" w14:textId="77777777" w:rsidR="00F72758" w:rsidRPr="00F72758" w:rsidRDefault="00F72758" w:rsidP="00F72758">
            <w:pPr>
              <w:rPr>
                <w:sz w:val="18"/>
                <w:szCs w:val="18"/>
              </w:rPr>
            </w:pPr>
            <w:r w:rsidRPr="00F72758">
              <w:rPr>
                <w:b/>
                <w:bCs/>
                <w:sz w:val="18"/>
                <w:szCs w:val="18"/>
              </w:rPr>
              <w:t>Transparency: </w:t>
            </w:r>
            <w:r w:rsidRPr="00F72758">
              <w:rPr>
                <w:sz w:val="18"/>
                <w:szCs w:val="18"/>
              </w:rPr>
              <w:t>The living wage estimation organisation shall publish a clear and consistent step-by-step methodology for data collection, the data sources used and calculation elements, including a description of each step of the data collection, the calculation formulas used and a breakdown of the different components of the living wage estimation (see criterion 3).</w:t>
            </w:r>
          </w:p>
        </w:tc>
        <w:tc>
          <w:tcPr>
            <w:tcW w:w="5670" w:type="dxa"/>
          </w:tcPr>
          <w:p w14:paraId="3D9D9D8A" w14:textId="77777777" w:rsidR="00F72758" w:rsidRPr="00F72758" w:rsidRDefault="00F72758" w:rsidP="00F72758">
            <w:pPr>
              <w:spacing w:after="0"/>
              <w:rPr>
                <w:rFonts w:ascii="Calibri" w:hAnsi="Calibri"/>
                <w:sz w:val="18"/>
                <w:szCs w:val="18"/>
              </w:rPr>
            </w:pPr>
            <w:r w:rsidRPr="00F72758">
              <w:rPr>
                <w:rFonts w:ascii="Calibri" w:hAnsi="Calibri" w:cs="Calibri"/>
                <w:sz w:val="18"/>
                <w:szCs w:val="18"/>
              </w:rPr>
              <w:t>All ARI living wage reference value reports are published on ARI and GLWC websites. These reports include a section or paragraphs explaining the nature of the reference value approach to estimate living wages. This includes a note on the data used in the estimation, with their sources and data of collection, as well as the additional economic data used to update the living wage estimate to the reference year. Likewise, the Reference Value Methodological Note explains the nature, source, and year of the data used in the estimation of the Living Wage Reference Values.</w:t>
            </w:r>
          </w:p>
        </w:tc>
      </w:tr>
      <w:tr w:rsidR="00F72758" w:rsidRPr="00F72758" w14:paraId="7A5A1562" w14:textId="77777777" w:rsidTr="00F72758">
        <w:trPr>
          <w:cantSplit/>
          <w:trHeight w:val="300"/>
        </w:trPr>
        <w:tc>
          <w:tcPr>
            <w:tcW w:w="419" w:type="dxa"/>
            <w:hideMark/>
          </w:tcPr>
          <w:p w14:paraId="4F4A66B1" w14:textId="77777777" w:rsidR="00F72758" w:rsidRPr="00F72758" w:rsidRDefault="00F72758" w:rsidP="00F72758">
            <w:pPr>
              <w:rPr>
                <w:sz w:val="18"/>
                <w:szCs w:val="18"/>
              </w:rPr>
            </w:pPr>
            <w:r w:rsidRPr="00F72758">
              <w:rPr>
                <w:sz w:val="18"/>
                <w:szCs w:val="18"/>
              </w:rPr>
              <w:t>9</w:t>
            </w:r>
          </w:p>
        </w:tc>
        <w:tc>
          <w:tcPr>
            <w:tcW w:w="4396" w:type="dxa"/>
            <w:hideMark/>
          </w:tcPr>
          <w:p w14:paraId="745270C2" w14:textId="77777777" w:rsidR="00F72758" w:rsidRPr="00F72758" w:rsidRDefault="00F72758" w:rsidP="00F72758">
            <w:pPr>
              <w:rPr>
                <w:sz w:val="18"/>
                <w:szCs w:val="18"/>
              </w:rPr>
            </w:pPr>
            <w:r w:rsidRPr="00F72758">
              <w:rPr>
                <w:b/>
                <w:bCs/>
                <w:sz w:val="18"/>
                <w:szCs w:val="18"/>
              </w:rPr>
              <w:t>Update of estimates</w:t>
            </w:r>
            <w:r w:rsidRPr="00F72758">
              <w:rPr>
                <w:sz w:val="18"/>
                <w:szCs w:val="18"/>
              </w:rPr>
              <w:t>: If there is no on the ground data collection research every year, the living wage estimation organisation shall at least adjust their estimates according to inflation every year. </w:t>
            </w:r>
            <w:r w:rsidRPr="00F72758">
              <w:rPr>
                <w:sz w:val="18"/>
                <w:szCs w:val="18"/>
              </w:rPr>
              <w:br/>
              <w:t>Further adjustments beyond inflation, through a full on the ground study, should take place as frequent as possible. Living wage estimation organisations are encouraged to do so as much as their resources allow and no longer than every 5 to 10 years (considering local circumstances). Living wage estimation organisations shall provide justification on the frequency of their full studies and why they are not conducted within the ideal timeframe (e.g. financial or capacity limitations).</w:t>
            </w:r>
          </w:p>
        </w:tc>
        <w:tc>
          <w:tcPr>
            <w:tcW w:w="5670" w:type="dxa"/>
          </w:tcPr>
          <w:p w14:paraId="19BCC83A" w14:textId="77777777" w:rsidR="00F72758" w:rsidRPr="00F72758" w:rsidRDefault="00F72758" w:rsidP="00F72758">
            <w:pPr>
              <w:tabs>
                <w:tab w:val="left" w:pos="1288"/>
              </w:tabs>
              <w:rPr>
                <w:sz w:val="18"/>
                <w:szCs w:val="18"/>
              </w:rPr>
            </w:pPr>
            <w:r w:rsidRPr="00F72758">
              <w:rPr>
                <w:rFonts w:ascii="Calibri" w:hAnsi="Calibri" w:cs="Calibri"/>
                <w:sz w:val="18"/>
                <w:szCs w:val="18"/>
              </w:rPr>
              <w:t xml:space="preserve">ARI updates every year all of its living wage estimates, including the living wage reference values, to take account of inflation and increases in the cost of living. This is an intense activity, in which a very competent team of researchers works systematically. ARI is also very aware and vocal about the need to "rebase" its studies around every 10 years. For this reason, after 5 years of publishing living wage reference value reports, ARI is currently working with researchers from the Brazilian </w:t>
            </w:r>
            <w:proofErr w:type="spellStart"/>
            <w:r w:rsidRPr="00F72758">
              <w:rPr>
                <w:rFonts w:ascii="Calibri" w:hAnsi="Calibri" w:cs="Calibri"/>
                <w:sz w:val="18"/>
                <w:szCs w:val="18"/>
              </w:rPr>
              <w:t>Center</w:t>
            </w:r>
            <w:proofErr w:type="spellEnd"/>
            <w:r w:rsidRPr="00F72758">
              <w:rPr>
                <w:rFonts w:ascii="Calibri" w:hAnsi="Calibri" w:cs="Calibri"/>
                <w:sz w:val="18"/>
                <w:szCs w:val="18"/>
              </w:rPr>
              <w:t xml:space="preserve"> for Analysis and Planning (</w:t>
            </w:r>
            <w:proofErr w:type="spellStart"/>
            <w:r w:rsidRPr="00F72758">
              <w:rPr>
                <w:rFonts w:ascii="Calibri" w:hAnsi="Calibri" w:cs="Calibri"/>
                <w:sz w:val="18"/>
                <w:szCs w:val="18"/>
              </w:rPr>
              <w:t>Cebrap</w:t>
            </w:r>
            <w:proofErr w:type="spellEnd"/>
            <w:r w:rsidRPr="00F72758">
              <w:rPr>
                <w:rFonts w:ascii="Calibri" w:hAnsi="Calibri" w:cs="Calibri"/>
                <w:sz w:val="18"/>
                <w:szCs w:val="18"/>
              </w:rPr>
              <w:t>) and the University of Rio de Janeiro in Brazil to do a thorough rebasing of all living wage reference value estimates.</w:t>
            </w:r>
          </w:p>
        </w:tc>
      </w:tr>
      <w:tr w:rsidR="00F72758" w:rsidRPr="00F72758" w14:paraId="448B0668" w14:textId="77777777" w:rsidTr="00F72758">
        <w:trPr>
          <w:cantSplit/>
          <w:trHeight w:val="300"/>
        </w:trPr>
        <w:tc>
          <w:tcPr>
            <w:tcW w:w="419" w:type="dxa"/>
            <w:hideMark/>
          </w:tcPr>
          <w:p w14:paraId="6CF35945" w14:textId="77777777" w:rsidR="00F72758" w:rsidRPr="00F72758" w:rsidRDefault="00F72758" w:rsidP="00F72758">
            <w:pPr>
              <w:rPr>
                <w:sz w:val="18"/>
                <w:szCs w:val="18"/>
              </w:rPr>
            </w:pPr>
            <w:r w:rsidRPr="00F72758">
              <w:rPr>
                <w:sz w:val="18"/>
                <w:szCs w:val="18"/>
              </w:rPr>
              <w:t>10</w:t>
            </w:r>
          </w:p>
        </w:tc>
        <w:tc>
          <w:tcPr>
            <w:tcW w:w="4396" w:type="dxa"/>
            <w:hideMark/>
          </w:tcPr>
          <w:p w14:paraId="4EB491E5" w14:textId="77777777" w:rsidR="00F72758" w:rsidRPr="00F72758" w:rsidRDefault="00F72758" w:rsidP="00F72758">
            <w:pPr>
              <w:rPr>
                <w:sz w:val="18"/>
                <w:szCs w:val="18"/>
              </w:rPr>
            </w:pPr>
            <w:r w:rsidRPr="00F72758">
              <w:rPr>
                <w:b/>
                <w:bCs/>
                <w:sz w:val="18"/>
                <w:szCs w:val="18"/>
              </w:rPr>
              <w:t>Collection date and applicability: </w:t>
            </w:r>
            <w:r w:rsidRPr="00F72758">
              <w:rPr>
                <w:sz w:val="18"/>
                <w:szCs w:val="18"/>
              </w:rPr>
              <w:t>The living wage estimation organisation shall explicitly mention the date of the data collection for each category separately and to explicitly mention the period for which the estimate is applicable.</w:t>
            </w:r>
          </w:p>
        </w:tc>
        <w:tc>
          <w:tcPr>
            <w:tcW w:w="5670" w:type="dxa"/>
          </w:tcPr>
          <w:p w14:paraId="004DD257" w14:textId="77777777" w:rsidR="00F72758" w:rsidRPr="00F72758" w:rsidRDefault="00F72758" w:rsidP="00F72758">
            <w:pPr>
              <w:spacing w:after="0"/>
              <w:rPr>
                <w:sz w:val="18"/>
                <w:szCs w:val="18"/>
              </w:rPr>
            </w:pPr>
            <w:r w:rsidRPr="00F72758">
              <w:rPr>
                <w:rFonts w:ascii="Calibri" w:hAnsi="Calibri" w:cs="Calibri"/>
                <w:sz w:val="18"/>
                <w:szCs w:val="18"/>
              </w:rPr>
              <w:t>ARI duly complies with this requirement in all its studies, including the living wage reference value studies. The dates for which the data and results apply are explicitly mentioned in all reference value reports.</w:t>
            </w:r>
          </w:p>
        </w:tc>
      </w:tr>
      <w:tr w:rsidR="00F72758" w:rsidRPr="00F72758" w14:paraId="63F66287" w14:textId="77777777" w:rsidTr="00F72758">
        <w:trPr>
          <w:cantSplit/>
          <w:trHeight w:val="300"/>
        </w:trPr>
        <w:tc>
          <w:tcPr>
            <w:tcW w:w="419" w:type="dxa"/>
            <w:hideMark/>
          </w:tcPr>
          <w:p w14:paraId="2481A378" w14:textId="77777777" w:rsidR="00F72758" w:rsidRPr="00F72758" w:rsidRDefault="00F72758" w:rsidP="00F72758">
            <w:pPr>
              <w:rPr>
                <w:sz w:val="18"/>
                <w:szCs w:val="18"/>
              </w:rPr>
            </w:pPr>
            <w:r w:rsidRPr="00F72758">
              <w:rPr>
                <w:sz w:val="18"/>
                <w:szCs w:val="18"/>
              </w:rPr>
              <w:lastRenderedPageBreak/>
              <w:t>11</w:t>
            </w:r>
          </w:p>
        </w:tc>
        <w:tc>
          <w:tcPr>
            <w:tcW w:w="4396" w:type="dxa"/>
            <w:hideMark/>
          </w:tcPr>
          <w:p w14:paraId="1C68F2BC" w14:textId="77777777" w:rsidR="00F72758" w:rsidRPr="00F72758" w:rsidRDefault="00F72758" w:rsidP="00F72758">
            <w:pPr>
              <w:rPr>
                <w:sz w:val="18"/>
                <w:szCs w:val="18"/>
              </w:rPr>
            </w:pPr>
            <w:r w:rsidRPr="00F72758">
              <w:rPr>
                <w:b/>
                <w:bCs/>
                <w:sz w:val="18"/>
                <w:szCs w:val="18"/>
              </w:rPr>
              <w:t>Local stakeholder participation: </w:t>
            </w:r>
            <w:r w:rsidRPr="00F72758">
              <w:rPr>
                <w:sz w:val="18"/>
                <w:szCs w:val="18"/>
              </w:rPr>
              <w:t>The living wage estimation organisation shall specify when estimates were developed by, or in direct partnership with, local independent research institutions and labour representatives and were subject to local stakeholders’ consultation. Methodologies to describe how they consult local stakeholders.</w:t>
            </w:r>
          </w:p>
        </w:tc>
        <w:tc>
          <w:tcPr>
            <w:tcW w:w="5670" w:type="dxa"/>
          </w:tcPr>
          <w:p w14:paraId="0134DC5C" w14:textId="77777777" w:rsidR="00F72758" w:rsidRPr="00F72758" w:rsidRDefault="00F72758" w:rsidP="00F72758">
            <w:pPr>
              <w:spacing w:after="0"/>
              <w:rPr>
                <w:rFonts w:cs="Times New Roman"/>
                <w:sz w:val="18"/>
                <w:szCs w:val="18"/>
              </w:rPr>
            </w:pPr>
            <w:r w:rsidRPr="00F72758">
              <w:rPr>
                <w:rFonts w:ascii="Calibri" w:hAnsi="Calibri" w:cs="Calibri"/>
                <w:sz w:val="18"/>
                <w:szCs w:val="18"/>
              </w:rPr>
              <w:t>The Reference Value approach was developed in partnership with researchers from the University of Rio de Janeiro in Brazil, and in consultation with—and with the endorsement of—governmental organizations, the Global Living Wage Coalition (GLWC), and other NGOs. Reference Value reports are generally not subject to stakeholder consultation; however, whenever possible, results are discussed with local stakeholders. ARI also regularly consults with GLWC members regarding the results obtained from these Reference Value studies. These reports always include a wage ladder that compares the estimated living wage with other relevant local economic indicators.</w:t>
            </w:r>
          </w:p>
        </w:tc>
      </w:tr>
      <w:tr w:rsidR="00F72758" w:rsidRPr="00F72758" w14:paraId="35252340" w14:textId="77777777" w:rsidTr="00F72758">
        <w:trPr>
          <w:cantSplit/>
          <w:trHeight w:val="300"/>
        </w:trPr>
        <w:tc>
          <w:tcPr>
            <w:tcW w:w="419" w:type="dxa"/>
            <w:hideMark/>
          </w:tcPr>
          <w:p w14:paraId="7E2EBC38" w14:textId="77777777" w:rsidR="00F72758" w:rsidRPr="00F72758" w:rsidRDefault="00F72758" w:rsidP="00F72758">
            <w:pPr>
              <w:rPr>
                <w:sz w:val="18"/>
                <w:szCs w:val="18"/>
              </w:rPr>
            </w:pPr>
            <w:r w:rsidRPr="00F72758">
              <w:rPr>
                <w:sz w:val="18"/>
                <w:szCs w:val="18"/>
              </w:rPr>
              <w:t>12</w:t>
            </w:r>
          </w:p>
        </w:tc>
        <w:tc>
          <w:tcPr>
            <w:tcW w:w="4396" w:type="dxa"/>
            <w:hideMark/>
          </w:tcPr>
          <w:p w14:paraId="61F79A37" w14:textId="77777777" w:rsidR="00F72758" w:rsidRPr="00F72758" w:rsidRDefault="00F72758" w:rsidP="00F72758">
            <w:pPr>
              <w:rPr>
                <w:sz w:val="18"/>
                <w:szCs w:val="18"/>
              </w:rPr>
            </w:pPr>
            <w:r w:rsidRPr="00F72758">
              <w:rPr>
                <w:b/>
                <w:bCs/>
                <w:sz w:val="18"/>
                <w:szCs w:val="18"/>
              </w:rPr>
              <w:t>Quality assurance:</w:t>
            </w:r>
            <w:r w:rsidRPr="00F72758">
              <w:rPr>
                <w:sz w:val="18"/>
                <w:szCs w:val="18"/>
              </w:rPr>
              <w:t> The living wage estimation organisation shall ensure that the methodology is verified by an independent party with no conflict of interest (based on the ILO principle, chapter 3 of the report from March 2024). The living wage estimation organisation shall describe its quality assurance process during the recognition process. </w:t>
            </w:r>
          </w:p>
        </w:tc>
        <w:tc>
          <w:tcPr>
            <w:tcW w:w="5670" w:type="dxa"/>
          </w:tcPr>
          <w:p w14:paraId="72E42324" w14:textId="77777777" w:rsidR="00F72758" w:rsidRPr="00F72758" w:rsidRDefault="00F72758" w:rsidP="00F72758">
            <w:pPr>
              <w:spacing w:after="0"/>
              <w:rPr>
                <w:rFonts w:cs="Times New Roman"/>
                <w:sz w:val="18"/>
                <w:szCs w:val="18"/>
              </w:rPr>
            </w:pPr>
            <w:r w:rsidRPr="00F72758">
              <w:rPr>
                <w:rFonts w:ascii="Calibri" w:hAnsi="Calibri" w:cs="Calibri"/>
                <w:sz w:val="18"/>
                <w:szCs w:val="18"/>
              </w:rPr>
              <w:t xml:space="preserve">The Anker Reference Values are endorsed by the Global Living Wage Coalition (Fairtrade International, Rainforest Alliance, Social Accountability International, Aquaculture Stewardship Council, </w:t>
            </w:r>
            <w:proofErr w:type="spellStart"/>
            <w:r w:rsidRPr="00F72758">
              <w:rPr>
                <w:rFonts w:ascii="Calibri" w:hAnsi="Calibri" w:cs="Calibri"/>
                <w:sz w:val="18"/>
                <w:szCs w:val="18"/>
              </w:rPr>
              <w:t>Bonsucro</w:t>
            </w:r>
            <w:proofErr w:type="spellEnd"/>
            <w:r w:rsidRPr="00F72758">
              <w:rPr>
                <w:rFonts w:ascii="Calibri" w:hAnsi="Calibri" w:cs="Calibri"/>
                <w:sz w:val="18"/>
                <w:szCs w:val="18"/>
              </w:rPr>
              <w:t xml:space="preserve">, Fair Labor Association, Fair Trade USA, Union for Ethical </w:t>
            </w:r>
            <w:proofErr w:type="spellStart"/>
            <w:r w:rsidRPr="00F72758">
              <w:rPr>
                <w:rFonts w:ascii="Calibri" w:hAnsi="Calibri" w:cs="Calibri"/>
                <w:sz w:val="18"/>
                <w:szCs w:val="18"/>
              </w:rPr>
              <w:t>BioTrade</w:t>
            </w:r>
            <w:proofErr w:type="spellEnd"/>
            <w:r w:rsidRPr="00F72758">
              <w:rPr>
                <w:rFonts w:ascii="Calibri" w:hAnsi="Calibri" w:cs="Calibri"/>
                <w:sz w:val="18"/>
                <w:szCs w:val="18"/>
              </w:rPr>
              <w:t>, and ISEAL Alliance). Development of the methodology was initiated and supported by Fairtrade International and German Federal Ministry for Economic Cooperation and Development (BMZ). Further support was received from Rainforest Alliance, Social Accountability International and Clif Bar &amp; Company.</w:t>
            </w:r>
          </w:p>
        </w:tc>
      </w:tr>
    </w:tbl>
    <w:p w14:paraId="0F0D83CE" w14:textId="77777777" w:rsidR="004E093A" w:rsidRPr="004E093A" w:rsidRDefault="004E093A" w:rsidP="004E093A"/>
    <w:sectPr w:rsidR="004E093A" w:rsidRPr="004E093A" w:rsidSect="00F72758">
      <w:headerReference w:type="even" r:id="rId14"/>
      <w:headerReference w:type="default" r:id="rId15"/>
      <w:footerReference w:type="even" r:id="rId16"/>
      <w:footerReference w:type="default" r:id="rId17"/>
      <w:headerReference w:type="first" r:id="rId18"/>
      <w:footerReference w:type="first" r:id="rId19"/>
      <w:pgSz w:w="11900" w:h="16840"/>
      <w:pgMar w:top="1134"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3671" w14:textId="77777777" w:rsidR="00752DBD" w:rsidRDefault="00752DBD" w:rsidP="004E093A">
      <w:r>
        <w:separator/>
      </w:r>
    </w:p>
  </w:endnote>
  <w:endnote w:type="continuationSeparator" w:id="0">
    <w:p w14:paraId="2F161A22" w14:textId="77777777" w:rsidR="00752DBD" w:rsidRDefault="00752DBD" w:rsidP="004E093A">
      <w:r>
        <w:continuationSeparator/>
      </w:r>
    </w:p>
  </w:endnote>
  <w:endnote w:type="continuationNotice" w:id="1">
    <w:p w14:paraId="48FD89E3" w14:textId="77777777" w:rsidR="00752DBD" w:rsidRDefault="00752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787379"/>
      <w:docPartObj>
        <w:docPartGallery w:val="Page Numbers (Bottom of Page)"/>
        <w:docPartUnique/>
      </w:docPartObj>
    </w:sdtPr>
    <w:sdtEndPr>
      <w:rPr>
        <w:rStyle w:val="PageNumber"/>
      </w:rPr>
    </w:sdtEndPr>
    <w:sdtContent>
      <w:p w14:paraId="4C76A35A" w14:textId="77777777" w:rsidR="00BF340B" w:rsidRDefault="00BF340B" w:rsidP="004E093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659B18" w14:textId="77777777" w:rsidR="00BF340B" w:rsidRDefault="00BF340B" w:rsidP="004E0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200267"/>
      <w:docPartObj>
        <w:docPartGallery w:val="Page Numbers (Bottom of Page)"/>
        <w:docPartUnique/>
      </w:docPartObj>
    </w:sdtPr>
    <w:sdtEndPr>
      <w:rPr>
        <w:rStyle w:val="PageNumber"/>
        <w:sz w:val="13"/>
      </w:rPr>
    </w:sdtEndPr>
    <w:sdtContent>
      <w:p w14:paraId="4B0EB0BA" w14:textId="77777777" w:rsidR="00BF340B" w:rsidRPr="006C284F" w:rsidRDefault="00BF340B" w:rsidP="00A96636">
        <w:pPr>
          <w:pStyle w:val="Footer"/>
          <w:jc w:val="right"/>
          <w:rPr>
            <w:rStyle w:val="PageNumber"/>
            <w:sz w:val="16"/>
          </w:rPr>
        </w:pPr>
        <w:r w:rsidRPr="006C284F">
          <w:rPr>
            <w:rStyle w:val="PageNumber"/>
            <w:sz w:val="16"/>
          </w:rPr>
          <w:fldChar w:fldCharType="begin"/>
        </w:r>
        <w:r w:rsidRPr="006C284F">
          <w:rPr>
            <w:rStyle w:val="PageNumber"/>
            <w:sz w:val="16"/>
          </w:rPr>
          <w:instrText xml:space="preserve"> PAGE </w:instrText>
        </w:r>
        <w:r w:rsidRPr="006C284F">
          <w:rPr>
            <w:rStyle w:val="PageNumber"/>
            <w:sz w:val="16"/>
          </w:rPr>
          <w:fldChar w:fldCharType="separate"/>
        </w:r>
        <w:r w:rsidRPr="006C284F">
          <w:rPr>
            <w:rStyle w:val="PageNumber"/>
            <w:noProof/>
            <w:sz w:val="16"/>
          </w:rPr>
          <w:t>1</w:t>
        </w:r>
        <w:r w:rsidRPr="006C284F">
          <w:rPr>
            <w:rStyle w:val="PageNumber"/>
            <w:sz w:val="16"/>
          </w:rPr>
          <w:fldChar w:fldCharType="end"/>
        </w:r>
      </w:p>
    </w:sdtContent>
  </w:sdt>
  <w:p w14:paraId="0D9E9BDA" w14:textId="77777777" w:rsidR="00BF340B" w:rsidRPr="006C284F" w:rsidRDefault="00BF340B" w:rsidP="004E0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3277" w14:textId="77777777" w:rsidR="00285408" w:rsidRDefault="0028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236E" w14:textId="77777777" w:rsidR="00752DBD" w:rsidRDefault="00752DBD" w:rsidP="004E093A">
      <w:r>
        <w:separator/>
      </w:r>
    </w:p>
  </w:footnote>
  <w:footnote w:type="continuationSeparator" w:id="0">
    <w:p w14:paraId="2CC99883" w14:textId="77777777" w:rsidR="00752DBD" w:rsidRDefault="00752DBD" w:rsidP="004E093A">
      <w:r>
        <w:continuationSeparator/>
      </w:r>
    </w:p>
  </w:footnote>
  <w:footnote w:type="continuationNotice" w:id="1">
    <w:p w14:paraId="2E7022DC" w14:textId="77777777" w:rsidR="00752DBD" w:rsidRDefault="00752DBD">
      <w:pPr>
        <w:spacing w:after="0"/>
      </w:pPr>
    </w:p>
  </w:footnote>
  <w:footnote w:id="2">
    <w:p w14:paraId="1BB89926" w14:textId="0FA6BAAF" w:rsidR="0075605A" w:rsidRPr="00285408" w:rsidRDefault="0075605A" w:rsidP="004E093A">
      <w:pPr>
        <w:pStyle w:val="FootnoteText"/>
        <w:rPr>
          <w:sz w:val="18"/>
          <w:szCs w:val="18"/>
          <w:lang w:val="en-US"/>
        </w:rPr>
      </w:pPr>
      <w:r w:rsidRPr="00285408">
        <w:rPr>
          <w:rStyle w:val="FootnoteReference"/>
          <w:sz w:val="15"/>
          <w:szCs w:val="18"/>
        </w:rPr>
        <w:footnoteRef/>
      </w:r>
      <w:r w:rsidRPr="00285408">
        <w:rPr>
          <w:sz w:val="18"/>
          <w:szCs w:val="18"/>
          <w:lang w:val="en-US"/>
        </w:rPr>
        <w:t xml:space="preserve"> </w:t>
      </w:r>
      <w:r w:rsidR="00AD7A25" w:rsidRPr="00285408">
        <w:rPr>
          <w:sz w:val="18"/>
          <w:szCs w:val="18"/>
          <w:lang w:val="en-US"/>
        </w:rPr>
        <w:t xml:space="preserve">Publicly </w:t>
      </w:r>
      <w:r w:rsidR="00AD7A25" w:rsidRPr="00E45BAB">
        <w:rPr>
          <w:sz w:val="18"/>
          <w:szCs w:val="18"/>
          <w:lang w:val="en-US"/>
        </w:rPr>
        <w:t>a</w:t>
      </w:r>
      <w:r w:rsidRPr="00E45BAB">
        <w:rPr>
          <w:sz w:val="18"/>
          <w:szCs w:val="18"/>
          <w:lang w:val="en-US"/>
        </w:rPr>
        <w:t xml:space="preserve">vailable the </w:t>
      </w:r>
      <w:r w:rsidR="00E45BAB" w:rsidRPr="00E45BAB">
        <w:rPr>
          <w:sz w:val="18"/>
          <w:szCs w:val="18"/>
          <w:lang w:val="en-US"/>
        </w:rPr>
        <w:t>10</w:t>
      </w:r>
      <w:r w:rsidRPr="00E45BAB">
        <w:rPr>
          <w:sz w:val="18"/>
          <w:szCs w:val="18"/>
          <w:lang w:val="en-US"/>
        </w:rPr>
        <w:t xml:space="preserve">th of </w:t>
      </w:r>
      <w:r w:rsidR="00E45BAB" w:rsidRPr="00E45BAB">
        <w:rPr>
          <w:sz w:val="18"/>
          <w:szCs w:val="18"/>
          <w:lang w:val="en-US"/>
        </w:rPr>
        <w:t xml:space="preserve">December </w:t>
      </w:r>
      <w:r w:rsidRPr="00E45BAB">
        <w:rPr>
          <w:sz w:val="18"/>
          <w:szCs w:val="18"/>
          <w:lang w:val="en-U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8766" w14:textId="09BF659C" w:rsidR="006367E7" w:rsidRDefault="00636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E59C" w14:textId="0EA9D257" w:rsidR="007663EF" w:rsidRDefault="007663EF" w:rsidP="004E093A">
    <w:pPr>
      <w:pStyle w:val="Header"/>
    </w:pPr>
    <w:r>
      <w:rPr>
        <w:noProof/>
      </w:rPr>
      <mc:AlternateContent>
        <mc:Choice Requires="wps">
          <w:drawing>
            <wp:anchor distT="0" distB="0" distL="114300" distR="114300" simplePos="0" relativeHeight="251658240" behindDoc="0" locked="0" layoutInCell="1" allowOverlap="1" wp14:anchorId="4736DDF3" wp14:editId="1EED96A2">
              <wp:simplePos x="0" y="0"/>
              <wp:positionH relativeFrom="column">
                <wp:posOffset>-895985</wp:posOffset>
              </wp:positionH>
              <wp:positionV relativeFrom="paragraph">
                <wp:posOffset>-450215</wp:posOffset>
              </wp:positionV>
              <wp:extent cx="8102600" cy="753533"/>
              <wp:effectExtent l="0" t="0" r="0" b="0"/>
              <wp:wrapNone/>
              <wp:docPr id="1" name="Rectángulo 1"/>
              <wp:cNvGraphicFramePr/>
              <a:graphic xmlns:a="http://schemas.openxmlformats.org/drawingml/2006/main">
                <a:graphicData uri="http://schemas.microsoft.com/office/word/2010/wordprocessingShape">
                  <wps:wsp>
                    <wps:cNvSpPr/>
                    <wps:spPr>
                      <a:xfrm>
                        <a:off x="0" y="0"/>
                        <a:ext cx="8102600" cy="753533"/>
                      </a:xfrm>
                      <a:prstGeom prst="rect">
                        <a:avLst/>
                      </a:prstGeom>
                      <a:solidFill>
                        <a:srgbClr val="0062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CABD3" w14:textId="77777777" w:rsidR="0042774D" w:rsidRPr="00710B56" w:rsidRDefault="0042774D" w:rsidP="004E093A">
                          <w:pPr>
                            <w:pStyle w:val="Heading1"/>
                          </w:pPr>
                          <w:r w:rsidRPr="00710B56">
                            <w:t xml:space="preserve">Living Wage </w:t>
                          </w:r>
                          <w:r w:rsidR="00457569">
                            <w:t xml:space="preserve">Estimates </w:t>
                          </w:r>
                          <w:r w:rsidRPr="00710B56">
                            <w:t>Series</w:t>
                          </w:r>
                          <w:r w:rsidR="00BF340B">
                            <w:t xml:space="preserve"> </w:t>
                          </w:r>
                          <w:r w:rsidRPr="00710B56">
                            <w:t xml:space="preserve"> </w:t>
                          </w:r>
                          <w:r w:rsidR="00710B56" w:rsidRPr="00710B56">
                            <w:t xml:space="preserve">    </w:t>
                          </w:r>
                          <w:r w:rsidR="00BF340B" w:rsidRPr="00710B56">
                            <w:rPr>
                              <w:noProof/>
                            </w:rPr>
                            <w:drawing>
                              <wp:inline distT="0" distB="0" distL="0" distR="0" wp14:anchorId="2933402A" wp14:editId="2E314720">
                                <wp:extent cx="1210310" cy="44577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1828" cy="457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6DDF3" id="Rectángulo 1" o:spid="_x0000_s1030" style="position:absolute;margin-left:-70.55pt;margin-top:-35.45pt;width:638pt;height: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" fillcolor="#00625e" stroked="f" strokeweight="1pt">
              <v:textbox>
                <w:txbxContent>
                  <w:p w14:paraId="36ACABD3" w14:textId="77777777" w:rsidR="0042774D" w:rsidRPr="00710B56" w:rsidRDefault="0042774D" w:rsidP="004E093A">
                    <w:pPr>
                      <w:pStyle w:val="Ttulo1"/>
                    </w:pPr>
                    <w:r w:rsidRPr="00710B56">
                      <w:t xml:space="preserve">Living Wage </w:t>
                    </w:r>
                    <w:r w:rsidR="00457569">
                      <w:t xml:space="preserve">Estimates </w:t>
                    </w:r>
                    <w:r w:rsidRPr="00710B56">
                      <w:t>Series</w:t>
                    </w:r>
                    <w:r w:rsidR="00BF340B">
                      <w:t xml:space="preserve"> </w:t>
                    </w:r>
                    <w:r w:rsidRPr="00710B56">
                      <w:t xml:space="preserve"> </w:t>
                    </w:r>
                    <w:r w:rsidR="00710B56" w:rsidRPr="00710B56">
                      <w:t xml:space="preserve">    </w:t>
                    </w:r>
                    <w:r w:rsidR="00BF340B" w:rsidRPr="00710B56">
                      <w:rPr>
                        <w:noProof/>
                      </w:rPr>
                      <w:drawing>
                        <wp:inline distT="0" distB="0" distL="0" distR="0" wp14:anchorId="2933402A" wp14:editId="2E314720">
                          <wp:extent cx="1210310" cy="44577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41828" cy="457378"/>
                                  </a:xfrm>
                                  <a:prstGeom prst="rect">
                                    <a:avLst/>
                                  </a:prstGeom>
                                </pic:spPr>
                              </pic:pic>
                            </a:graphicData>
                          </a:graphic>
                        </wp:inline>
                      </w:drawing>
                    </w:r>
                  </w:p>
                </w:txbxContent>
              </v:textbox>
            </v:rect>
          </w:pict>
        </mc:Fallback>
      </mc:AlternateContent>
    </w:r>
  </w:p>
  <w:p w14:paraId="161B491F" w14:textId="77777777" w:rsidR="007663EF" w:rsidRDefault="007663EF" w:rsidP="004E093A">
    <w:pPr>
      <w:pStyle w:val="Header"/>
    </w:pPr>
  </w:p>
  <w:p w14:paraId="2FD0EDA0" w14:textId="77777777" w:rsidR="0042774D" w:rsidRDefault="0042774D" w:rsidP="004E093A">
    <w:pPr>
      <w:pStyle w:val="Header"/>
    </w:pPr>
  </w:p>
  <w:p w14:paraId="7D38D1E9" w14:textId="77777777" w:rsidR="007663EF" w:rsidRDefault="007663EF" w:rsidP="004E0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346C" w14:textId="79533FB1" w:rsidR="006367E7" w:rsidRDefault="00636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0F11"/>
    <w:multiLevelType w:val="hybridMultilevel"/>
    <w:tmpl w:val="D068D636"/>
    <w:lvl w:ilvl="0" w:tplc="A330F378">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2023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4D"/>
    <w:rsid w:val="00021EAF"/>
    <w:rsid w:val="00032A63"/>
    <w:rsid w:val="0003301B"/>
    <w:rsid w:val="00056116"/>
    <w:rsid w:val="000E011B"/>
    <w:rsid w:val="000E09AB"/>
    <w:rsid w:val="000E4280"/>
    <w:rsid w:val="000E6B04"/>
    <w:rsid w:val="0011334D"/>
    <w:rsid w:val="001326F7"/>
    <w:rsid w:val="00170424"/>
    <w:rsid w:val="001F7CD9"/>
    <w:rsid w:val="002469C0"/>
    <w:rsid w:val="00271D39"/>
    <w:rsid w:val="00277306"/>
    <w:rsid w:val="00285408"/>
    <w:rsid w:val="002B3BEB"/>
    <w:rsid w:val="003112C6"/>
    <w:rsid w:val="00324C00"/>
    <w:rsid w:val="00325078"/>
    <w:rsid w:val="00355DA2"/>
    <w:rsid w:val="00381235"/>
    <w:rsid w:val="00385C21"/>
    <w:rsid w:val="003934D8"/>
    <w:rsid w:val="00422191"/>
    <w:rsid w:val="0042774D"/>
    <w:rsid w:val="004279C8"/>
    <w:rsid w:val="00453393"/>
    <w:rsid w:val="00457569"/>
    <w:rsid w:val="00473E2B"/>
    <w:rsid w:val="004969CD"/>
    <w:rsid w:val="004A46A5"/>
    <w:rsid w:val="004B2D71"/>
    <w:rsid w:val="004D23E1"/>
    <w:rsid w:val="004E093A"/>
    <w:rsid w:val="00503245"/>
    <w:rsid w:val="00524954"/>
    <w:rsid w:val="00530662"/>
    <w:rsid w:val="005355E5"/>
    <w:rsid w:val="00582DD5"/>
    <w:rsid w:val="005975DC"/>
    <w:rsid w:val="005B082C"/>
    <w:rsid w:val="005B1E33"/>
    <w:rsid w:val="006367E7"/>
    <w:rsid w:val="0063747F"/>
    <w:rsid w:val="00671134"/>
    <w:rsid w:val="006C284F"/>
    <w:rsid w:val="00710B56"/>
    <w:rsid w:val="007248BB"/>
    <w:rsid w:val="00752DBD"/>
    <w:rsid w:val="0075605A"/>
    <w:rsid w:val="00765EC6"/>
    <w:rsid w:val="007663EF"/>
    <w:rsid w:val="00793B1A"/>
    <w:rsid w:val="007E330D"/>
    <w:rsid w:val="007F68CF"/>
    <w:rsid w:val="00801583"/>
    <w:rsid w:val="008368E1"/>
    <w:rsid w:val="008428E8"/>
    <w:rsid w:val="0089380A"/>
    <w:rsid w:val="008F448C"/>
    <w:rsid w:val="008F6B62"/>
    <w:rsid w:val="0091342A"/>
    <w:rsid w:val="00942F1E"/>
    <w:rsid w:val="0095255E"/>
    <w:rsid w:val="0095719B"/>
    <w:rsid w:val="00981782"/>
    <w:rsid w:val="00995A7E"/>
    <w:rsid w:val="009D41D5"/>
    <w:rsid w:val="00A10989"/>
    <w:rsid w:val="00A21BB9"/>
    <w:rsid w:val="00A36137"/>
    <w:rsid w:val="00A506D0"/>
    <w:rsid w:val="00A51BBB"/>
    <w:rsid w:val="00A77DF5"/>
    <w:rsid w:val="00A96636"/>
    <w:rsid w:val="00AD7A25"/>
    <w:rsid w:val="00AF523D"/>
    <w:rsid w:val="00AF7AA7"/>
    <w:rsid w:val="00B03624"/>
    <w:rsid w:val="00B06231"/>
    <w:rsid w:val="00B43BB7"/>
    <w:rsid w:val="00BC1111"/>
    <w:rsid w:val="00BF340B"/>
    <w:rsid w:val="00C2085D"/>
    <w:rsid w:val="00C2583B"/>
    <w:rsid w:val="00C65832"/>
    <w:rsid w:val="00C75F01"/>
    <w:rsid w:val="00C77CF8"/>
    <w:rsid w:val="00C92890"/>
    <w:rsid w:val="00C92B65"/>
    <w:rsid w:val="00CA35BB"/>
    <w:rsid w:val="00CE1018"/>
    <w:rsid w:val="00D00815"/>
    <w:rsid w:val="00D16C1F"/>
    <w:rsid w:val="00D253FB"/>
    <w:rsid w:val="00D25406"/>
    <w:rsid w:val="00D62D66"/>
    <w:rsid w:val="00DC05D6"/>
    <w:rsid w:val="00E35457"/>
    <w:rsid w:val="00E45BAB"/>
    <w:rsid w:val="00E46E95"/>
    <w:rsid w:val="00E8053B"/>
    <w:rsid w:val="00E85541"/>
    <w:rsid w:val="00EC430E"/>
    <w:rsid w:val="00F10FED"/>
    <w:rsid w:val="00F31D1F"/>
    <w:rsid w:val="00F355C1"/>
    <w:rsid w:val="00F41CC6"/>
    <w:rsid w:val="00F41D70"/>
    <w:rsid w:val="00F72758"/>
    <w:rsid w:val="00F96B57"/>
    <w:rsid w:val="00FA0572"/>
    <w:rsid w:val="00FD507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EE3D"/>
  <w15:chartTrackingRefBased/>
  <w15:docId w15:val="{858E050F-0369-B44A-AFEB-61F2BC67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93A"/>
    <w:pPr>
      <w:tabs>
        <w:tab w:val="left" w:pos="2333"/>
      </w:tabs>
      <w:spacing w:after="120"/>
    </w:pPr>
    <w:rPr>
      <w:sz w:val="20"/>
      <w:lang w:val="en-GB" w:eastAsia="es-ES_tradnl"/>
    </w:rPr>
  </w:style>
  <w:style w:type="paragraph" w:styleId="Heading1">
    <w:name w:val="heading 1"/>
    <w:basedOn w:val="Normal"/>
    <w:next w:val="Normal"/>
    <w:link w:val="Heading1Char"/>
    <w:uiPriority w:val="9"/>
    <w:qFormat/>
    <w:rsid w:val="00710B56"/>
    <w:pPr>
      <w:jc w:val="center"/>
      <w:outlineLvl w:val="0"/>
    </w:pPr>
    <w:rPr>
      <w:sz w:val="60"/>
      <w:szCs w:val="60"/>
    </w:rPr>
  </w:style>
  <w:style w:type="paragraph" w:styleId="Heading2">
    <w:name w:val="heading 2"/>
    <w:basedOn w:val="Normal"/>
    <w:next w:val="Normal"/>
    <w:link w:val="Heading2Char"/>
    <w:uiPriority w:val="9"/>
    <w:unhideWhenUsed/>
    <w:qFormat/>
    <w:rsid w:val="00710B56"/>
    <w:pPr>
      <w:jc w:val="center"/>
      <w:outlineLvl w:val="1"/>
    </w:pPr>
    <w:rPr>
      <w:sz w:val="36"/>
    </w:rPr>
  </w:style>
  <w:style w:type="paragraph" w:styleId="Heading3">
    <w:name w:val="heading 3"/>
    <w:basedOn w:val="Normal"/>
    <w:next w:val="Normal"/>
    <w:link w:val="Heading3Char"/>
    <w:uiPriority w:val="9"/>
    <w:unhideWhenUsed/>
    <w:qFormat/>
    <w:rsid w:val="00710B56"/>
    <w:pPr>
      <w:outlineLvl w:val="2"/>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toldata">
    <w:name w:val="Subtítol data"/>
    <w:basedOn w:val="Heading1"/>
    <w:qFormat/>
    <w:rsid w:val="00981782"/>
    <w:rPr>
      <w:rFonts w:ascii="Times New Roman" w:eastAsia="Times New Roman" w:hAnsi="Times New Roman" w:cs="Times New Roman"/>
      <w:bCs/>
      <w:sz w:val="24"/>
      <w:szCs w:val="28"/>
    </w:rPr>
  </w:style>
  <w:style w:type="character" w:customStyle="1" w:styleId="Heading1Char">
    <w:name w:val="Heading 1 Char"/>
    <w:basedOn w:val="DefaultParagraphFont"/>
    <w:link w:val="Heading1"/>
    <w:uiPriority w:val="9"/>
    <w:rsid w:val="00710B56"/>
    <w:rPr>
      <w:sz w:val="60"/>
      <w:szCs w:val="60"/>
    </w:rPr>
  </w:style>
  <w:style w:type="paragraph" w:styleId="Header">
    <w:name w:val="header"/>
    <w:basedOn w:val="Normal"/>
    <w:link w:val="HeaderChar"/>
    <w:uiPriority w:val="99"/>
    <w:unhideWhenUsed/>
    <w:rsid w:val="0042774D"/>
    <w:pPr>
      <w:tabs>
        <w:tab w:val="center" w:pos="4419"/>
        <w:tab w:val="right" w:pos="8838"/>
      </w:tabs>
    </w:pPr>
  </w:style>
  <w:style w:type="character" w:customStyle="1" w:styleId="HeaderChar">
    <w:name w:val="Header Char"/>
    <w:basedOn w:val="DefaultParagraphFont"/>
    <w:link w:val="Header"/>
    <w:uiPriority w:val="99"/>
    <w:rsid w:val="0042774D"/>
  </w:style>
  <w:style w:type="paragraph" w:styleId="Footer">
    <w:name w:val="footer"/>
    <w:basedOn w:val="Normal"/>
    <w:link w:val="FooterChar"/>
    <w:uiPriority w:val="99"/>
    <w:unhideWhenUsed/>
    <w:rsid w:val="0042774D"/>
    <w:pPr>
      <w:tabs>
        <w:tab w:val="center" w:pos="4419"/>
        <w:tab w:val="right" w:pos="8838"/>
      </w:tabs>
    </w:pPr>
  </w:style>
  <w:style w:type="character" w:customStyle="1" w:styleId="FooterChar">
    <w:name w:val="Footer Char"/>
    <w:basedOn w:val="DefaultParagraphFont"/>
    <w:link w:val="Footer"/>
    <w:uiPriority w:val="99"/>
    <w:rsid w:val="0042774D"/>
  </w:style>
  <w:style w:type="character" w:customStyle="1" w:styleId="Heading2Char">
    <w:name w:val="Heading 2 Char"/>
    <w:basedOn w:val="DefaultParagraphFont"/>
    <w:link w:val="Heading2"/>
    <w:uiPriority w:val="9"/>
    <w:rsid w:val="00710B56"/>
    <w:rPr>
      <w:sz w:val="36"/>
      <w:lang w:eastAsia="es-ES_tradnl"/>
    </w:rPr>
  </w:style>
  <w:style w:type="character" w:customStyle="1" w:styleId="Heading3Char">
    <w:name w:val="Heading 3 Char"/>
    <w:basedOn w:val="DefaultParagraphFont"/>
    <w:link w:val="Heading3"/>
    <w:uiPriority w:val="9"/>
    <w:rsid w:val="00710B56"/>
    <w:rPr>
      <w:b/>
      <w:sz w:val="21"/>
      <w:lang w:val="en-GB" w:eastAsia="es-ES_tradnl"/>
    </w:rPr>
  </w:style>
  <w:style w:type="character" w:styleId="Hyperlink">
    <w:name w:val="Hyperlink"/>
    <w:basedOn w:val="DefaultParagraphFont"/>
    <w:uiPriority w:val="99"/>
    <w:unhideWhenUsed/>
    <w:rsid w:val="004A46A5"/>
    <w:rPr>
      <w:color w:val="0563C1" w:themeColor="hyperlink"/>
      <w:u w:val="single"/>
    </w:rPr>
  </w:style>
  <w:style w:type="character" w:styleId="UnresolvedMention">
    <w:name w:val="Unresolved Mention"/>
    <w:basedOn w:val="DefaultParagraphFont"/>
    <w:uiPriority w:val="99"/>
    <w:semiHidden/>
    <w:unhideWhenUsed/>
    <w:rsid w:val="004A46A5"/>
    <w:rPr>
      <w:color w:val="605E5C"/>
      <w:shd w:val="clear" w:color="auto" w:fill="E1DFDD"/>
    </w:rPr>
  </w:style>
  <w:style w:type="table" w:styleId="TableGrid">
    <w:name w:val="Table Grid"/>
    <w:basedOn w:val="TableNormal"/>
    <w:uiPriority w:val="39"/>
    <w:rsid w:val="0076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340B"/>
    <w:rPr>
      <w:color w:val="954F72" w:themeColor="followedHyperlink"/>
      <w:u w:val="single"/>
    </w:rPr>
  </w:style>
  <w:style w:type="character" w:styleId="PageNumber">
    <w:name w:val="page number"/>
    <w:basedOn w:val="DefaultParagraphFont"/>
    <w:uiPriority w:val="99"/>
    <w:semiHidden/>
    <w:unhideWhenUsed/>
    <w:rsid w:val="00BF340B"/>
  </w:style>
  <w:style w:type="paragraph" w:styleId="FootnoteText">
    <w:name w:val="footnote text"/>
    <w:basedOn w:val="Normal"/>
    <w:link w:val="FootnoteTextChar"/>
    <w:uiPriority w:val="99"/>
    <w:unhideWhenUsed/>
    <w:rsid w:val="0075605A"/>
    <w:rPr>
      <w:szCs w:val="20"/>
    </w:rPr>
  </w:style>
  <w:style w:type="character" w:customStyle="1" w:styleId="FootnoteTextChar">
    <w:name w:val="Footnote Text Char"/>
    <w:basedOn w:val="DefaultParagraphFont"/>
    <w:link w:val="FootnoteText"/>
    <w:uiPriority w:val="99"/>
    <w:rsid w:val="0075605A"/>
    <w:rPr>
      <w:sz w:val="20"/>
      <w:szCs w:val="20"/>
    </w:rPr>
  </w:style>
  <w:style w:type="character" w:styleId="FootnoteReference">
    <w:name w:val="footnote reference"/>
    <w:basedOn w:val="DefaultParagraphFont"/>
    <w:uiPriority w:val="99"/>
    <w:semiHidden/>
    <w:unhideWhenUsed/>
    <w:rsid w:val="0075605A"/>
    <w:rPr>
      <w:vertAlign w:val="superscript"/>
    </w:rPr>
  </w:style>
  <w:style w:type="paragraph" w:styleId="NoSpacing">
    <w:name w:val="No Spacing"/>
    <w:basedOn w:val="Normal"/>
    <w:uiPriority w:val="1"/>
    <w:qFormat/>
    <w:rsid w:val="00EC430E"/>
    <w:pPr>
      <w:spacing w:before="60" w:after="60"/>
    </w:pPr>
    <w:rPr>
      <w:rFonts w:cs="Arial"/>
      <w:sz w:val="18"/>
      <w:szCs w:val="20"/>
    </w:rPr>
  </w:style>
  <w:style w:type="paragraph" w:styleId="BalloonText">
    <w:name w:val="Balloon Text"/>
    <w:basedOn w:val="Normal"/>
    <w:link w:val="BalloonTextChar"/>
    <w:uiPriority w:val="99"/>
    <w:semiHidden/>
    <w:unhideWhenUsed/>
    <w:rsid w:val="004575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569"/>
    <w:rPr>
      <w:rFonts w:ascii="Times New Roman" w:hAnsi="Times New Roman" w:cs="Times New Roman"/>
      <w:sz w:val="18"/>
      <w:szCs w:val="18"/>
    </w:rPr>
  </w:style>
  <w:style w:type="paragraph" w:styleId="ListParagraph">
    <w:name w:val="List Paragraph"/>
    <w:basedOn w:val="Normal"/>
    <w:uiPriority w:val="34"/>
    <w:qFormat/>
    <w:rsid w:val="004E093A"/>
    <w:pPr>
      <w:ind w:left="720"/>
      <w:contextualSpacing/>
    </w:pPr>
  </w:style>
  <w:style w:type="paragraph" w:styleId="Revision">
    <w:name w:val="Revision"/>
    <w:hidden/>
    <w:uiPriority w:val="99"/>
    <w:semiHidden/>
    <w:rsid w:val="00056116"/>
    <w:rPr>
      <w:sz w:val="20"/>
      <w:lang w:val="en-GB" w:eastAsia="es-ES_tradnl"/>
    </w:rPr>
  </w:style>
  <w:style w:type="character" w:customStyle="1" w:styleId="apple-converted-space">
    <w:name w:val="apple-converted-space"/>
    <w:basedOn w:val="DefaultParagraphFont"/>
    <w:rsid w:val="00F7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6464">
      <w:bodyDiv w:val="1"/>
      <w:marLeft w:val="0"/>
      <w:marRight w:val="0"/>
      <w:marTop w:val="0"/>
      <w:marBottom w:val="0"/>
      <w:divBdr>
        <w:top w:val="none" w:sz="0" w:space="0" w:color="auto"/>
        <w:left w:val="none" w:sz="0" w:space="0" w:color="auto"/>
        <w:bottom w:val="none" w:sz="0" w:space="0" w:color="auto"/>
        <w:right w:val="none" w:sz="0" w:space="0" w:color="auto"/>
      </w:divBdr>
    </w:div>
    <w:div w:id="489248139">
      <w:bodyDiv w:val="1"/>
      <w:marLeft w:val="0"/>
      <w:marRight w:val="0"/>
      <w:marTop w:val="0"/>
      <w:marBottom w:val="0"/>
      <w:divBdr>
        <w:top w:val="none" w:sz="0" w:space="0" w:color="auto"/>
        <w:left w:val="none" w:sz="0" w:space="0" w:color="auto"/>
        <w:bottom w:val="none" w:sz="0" w:space="0" w:color="auto"/>
        <w:right w:val="none" w:sz="0" w:space="0" w:color="auto"/>
      </w:divBdr>
    </w:div>
    <w:div w:id="587733649">
      <w:bodyDiv w:val="1"/>
      <w:marLeft w:val="0"/>
      <w:marRight w:val="0"/>
      <w:marTop w:val="0"/>
      <w:marBottom w:val="0"/>
      <w:divBdr>
        <w:top w:val="none" w:sz="0" w:space="0" w:color="auto"/>
        <w:left w:val="none" w:sz="0" w:space="0" w:color="auto"/>
        <w:bottom w:val="none" w:sz="0" w:space="0" w:color="auto"/>
        <w:right w:val="none" w:sz="0" w:space="0" w:color="auto"/>
      </w:divBdr>
    </w:div>
    <w:div w:id="1385760411">
      <w:bodyDiv w:val="1"/>
      <w:marLeft w:val="0"/>
      <w:marRight w:val="0"/>
      <w:marTop w:val="0"/>
      <w:marBottom w:val="0"/>
      <w:divBdr>
        <w:top w:val="none" w:sz="0" w:space="0" w:color="auto"/>
        <w:left w:val="none" w:sz="0" w:space="0" w:color="auto"/>
        <w:bottom w:val="none" w:sz="0" w:space="0" w:color="auto"/>
        <w:right w:val="none" w:sz="0" w:space="0" w:color="auto"/>
      </w:divBdr>
    </w:div>
    <w:div w:id="1684014469">
      <w:bodyDiv w:val="1"/>
      <w:marLeft w:val="0"/>
      <w:marRight w:val="0"/>
      <w:marTop w:val="0"/>
      <w:marBottom w:val="0"/>
      <w:divBdr>
        <w:top w:val="none" w:sz="0" w:space="0" w:color="auto"/>
        <w:left w:val="none" w:sz="0" w:space="0" w:color="auto"/>
        <w:bottom w:val="none" w:sz="0" w:space="0" w:color="auto"/>
        <w:right w:val="none" w:sz="0" w:space="0" w:color="auto"/>
      </w:divBdr>
    </w:div>
    <w:div w:id="19682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kerresearchinstitute.org/ari-country-inde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nkerresearchinstitute.org/contac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nkerresearchinstitute.org/working-papers/reference-valu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697607-6a36-4041-8f83-b0762caad21b" xsi:nil="true"/>
    <lcf76f155ced4ddcb4097134ff3c332f xmlns="1a705341-c3a4-4bfc-9b88-b96a193d09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287B4004B184687FC41B3F7ED8E0B" ma:contentTypeVersion="16" ma:contentTypeDescription="Create a new document." ma:contentTypeScope="" ma:versionID="f131333850b86babd456b6decd2e6551">
  <xsd:schema xmlns:xsd="http://www.w3.org/2001/XMLSchema" xmlns:xs="http://www.w3.org/2001/XMLSchema" xmlns:p="http://schemas.microsoft.com/office/2006/metadata/properties" xmlns:ns2="1a705341-c3a4-4bfc-9b88-b96a193d0905" xmlns:ns3="0a697607-6a36-4041-8f83-b0762caad21b" targetNamespace="http://schemas.microsoft.com/office/2006/metadata/properties" ma:root="true" ma:fieldsID="112bc4e0b730f09c5dc59a6d6c37fc64" ns2:_="" ns3:_="">
    <xsd:import namespace="1a705341-c3a4-4bfc-9b88-b96a193d0905"/>
    <xsd:import namespace="0a697607-6a36-4041-8f83-b0762caad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5341-c3a4-4bfc-9b88-b96a193d0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4679c0-ade9-40b3-b412-27ddd65c47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97607-6a36-4041-8f83-b0762caad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e0816-4cca-4c95-bfaf-b33fd7e1093b}" ma:internalName="TaxCatchAll" ma:showField="CatchAllData" ma:web="0a697607-6a36-4041-8f83-b0762caad2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6AF3A-8A43-4E2D-A567-9A7D33CDEDB5}">
  <ds:schemaRefs>
    <ds:schemaRef ds:uri="http://schemas.microsoft.com/office/2006/metadata/properties"/>
    <ds:schemaRef ds:uri="http://schemas.microsoft.com/office/infopath/2007/PartnerControls"/>
    <ds:schemaRef ds:uri="0a697607-6a36-4041-8f83-b0762caad21b"/>
    <ds:schemaRef ds:uri="1a705341-c3a4-4bfc-9b88-b96a193d0905"/>
  </ds:schemaRefs>
</ds:datastoreItem>
</file>

<file path=customXml/itemProps2.xml><?xml version="1.0" encoding="utf-8"?>
<ds:datastoreItem xmlns:ds="http://schemas.openxmlformats.org/officeDocument/2006/customXml" ds:itemID="{ABE445AD-DD1E-4244-8DA3-492511662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5341-c3a4-4bfc-9b88-b96a193d0905"/>
    <ds:schemaRef ds:uri="0a697607-6a36-4041-8f83-b0762caad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CEF63-C4F9-41AB-A16E-97F42168B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2187</Words>
  <Characters>12471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ASC</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Buxaderas</dc:creator>
  <cp:keywords/>
  <dc:description/>
  <cp:lastModifiedBy>Nicola Swann</cp:lastModifiedBy>
  <cp:revision>2</cp:revision>
  <dcterms:created xsi:type="dcterms:W3CDTF">2026-02-02T14:01:00Z</dcterms:created>
  <dcterms:modified xsi:type="dcterms:W3CDTF">2026-02-02T14:01:00Z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0x010100620287B4004B184687FC41B3F7ED8E0B</vt:lpwstr>
  </property>
  <property fmtid="{D5CDD505-2E9C-101B-9397-08002B2CF9AE}" pid="3" name="MediaServiceImageTags">
    <vt:lpwstr/>
  </property>
</Properties>
</file>